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Календарь предпринимателя: отчетность и платежи в мае 2022 года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Корпорация МСП составила на МСП.РФ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eastAsia="ru-RU"/>
        </w:rPr>
        <w:t>календарь предпринимателя на май 2022 года. Он поможет не забыть об уплате обязательных платежей, которые надо сделать в последний месяц весны, и датах сдачи обязательной отчетности.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Важно: в этом году некоторые даты переносятся из-за того, что 30 апреля выпадает на выходной день.</w:t>
      </w:r>
    </w:p>
    <w:p>
      <w:pPr>
        <w:pStyle w:val="Normal"/>
        <w:spacing w:lineRule="exact" w:line="3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До 4 мая: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exact" w:line="340"/>
        <w:ind w:left="0" w:firstLine="567"/>
        <w:jc w:val="both"/>
        <w:rPr/>
      </w:pPr>
      <w:r>
        <w:rPr/>
        <w:t xml:space="preserve">ИП на УСН сдают декларацию за 2021 год и уплачивают налог за 2021 год. В этом году Правительство России </w:t>
      </w:r>
      <w:r>
        <w:rPr>
          <w:b/>
        </w:rPr>
        <w:t xml:space="preserve">продлило </w:t>
      </w:r>
      <w:r>
        <w:rPr/>
        <w:t>на 6 месяцев</w:t>
      </w:r>
      <w:r>
        <w:rPr>
          <w:b/>
        </w:rPr>
        <w:t xml:space="preserve"> срок уплаты </w:t>
      </w:r>
      <w:r>
        <w:rPr/>
        <w:t>налога по УСН. Норма распространяется на 29 видов деятельности.</w:t>
      </w:r>
    </w:p>
    <w:p>
      <w:pPr>
        <w:pStyle w:val="ListParagraph"/>
        <w:tabs>
          <w:tab w:val="clear" w:pos="708"/>
          <w:tab w:val="left" w:pos="284" w:leader="none"/>
        </w:tabs>
        <w:spacing w:lineRule="exact" w:line="340"/>
        <w:ind w:left="0" w:firstLine="567"/>
        <w:jc w:val="both"/>
        <w:rPr/>
      </w:pPr>
      <w:r>
        <w:rPr/>
        <w:t xml:space="preserve">Уплата производится равными частями в размере 1/6 ежемесячно до конца месяца: до 30.11.2022, до 31.12.2022, до 31.01.2023, до 28.02.2023, до 31.03.2023 и до 30.04.2023. Для использования этой отсрочки основной ОКВЭД бизнеса должен относиться к одному из видов деятельности, перечисленных в постановлении Правительства РФ </w:t>
      </w:r>
      <w:hyperlink r:id="rId2">
        <w:r>
          <w:rPr/>
          <w:t>от 30.03.2022 № 512</w:t>
        </w:r>
      </w:hyperlink>
      <w:r>
        <w:rPr/>
        <w:t xml:space="preserve">. Проверить наличие права на эту льготу можно при помощи специального </w:t>
      </w:r>
      <w:hyperlink r:id="rId3">
        <w:r>
          <w:rPr/>
          <w:t>сервиса</w:t>
        </w:r>
      </w:hyperlink>
      <w:r>
        <w:rPr/>
        <w:t xml:space="preserve"> на сайте ФНС России.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exact" w:line="340" w:before="0" w:after="0"/>
        <w:ind w:left="0" w:firstLine="567"/>
        <w:contextualSpacing/>
        <w:jc w:val="both"/>
        <w:rPr/>
      </w:pPr>
      <w:r>
        <w:rPr/>
        <w:t xml:space="preserve">ИП на общей системе налогообложения сдают </w:t>
      </w:r>
      <w:r>
        <w:rPr>
          <w:b/>
        </w:rPr>
        <w:t>декларацию по налогу</w:t>
      </w:r>
      <w:r>
        <w:rPr/>
        <w:t xml:space="preserve"> на доходы физических лиц за 2021 год (форма 3-НДФЛ).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exact" w:line="340" w:before="0" w:after="0"/>
        <w:ind w:left="0" w:firstLine="567"/>
        <w:contextualSpacing/>
        <w:jc w:val="both"/>
        <w:rPr/>
      </w:pPr>
      <w:r>
        <w:rPr/>
        <w:t xml:space="preserve">Организации и ИП, привлекающие работников, сдают в налоговую инспекцию </w:t>
      </w:r>
      <w:r>
        <w:rPr>
          <w:b/>
        </w:rPr>
        <w:t>расчет по страховым взносам</w:t>
      </w:r>
      <w:r>
        <w:rPr/>
        <w:t xml:space="preserve"> и расчет 6-НДФЛ за I квартал 2022 года, а также уплачивают НДФЛ с больничных и отпускных, если они были в апреле.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exact" w:line="340" w:before="0" w:after="0"/>
        <w:ind w:left="0" w:firstLine="567"/>
        <w:contextualSpacing/>
        <w:jc w:val="both"/>
        <w:rPr/>
      </w:pPr>
      <w:r>
        <w:rPr/>
        <w:t xml:space="preserve">Организации уплачивают </w:t>
      </w:r>
      <w:r>
        <w:rPr>
          <w:b/>
        </w:rPr>
        <w:t>авансовые платежи</w:t>
      </w:r>
      <w:r>
        <w:rPr/>
        <w:t xml:space="preserve"> за I квартал 2022 года по имущественным налогам: на имущество организаций, земельному и транспортному налогам.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exact" w:line="340" w:before="0" w:after="0"/>
        <w:ind w:left="0" w:firstLine="567"/>
        <w:contextualSpacing/>
        <w:jc w:val="both"/>
        <w:rPr/>
      </w:pPr>
      <w:r>
        <w:rPr/>
        <w:t xml:space="preserve">Организации и ИП, которые провели совместную сверку с налоговой инспекцией не более месяца назад, вправе подать </w:t>
      </w:r>
      <w:r>
        <w:rPr>
          <w:b/>
        </w:rPr>
        <w:t>заявление о переходе</w:t>
      </w:r>
      <w:r>
        <w:rPr/>
        <w:t xml:space="preserve"> на </w:t>
      </w:r>
      <w:hyperlink r:id="rId4">
        <w:r>
          <w:rPr/>
          <w:t>единый налоговый платеж (ЕНП)</w:t>
        </w:r>
      </w:hyperlink>
      <w:r>
        <w:rPr/>
        <w:t xml:space="preserve">. Эксперимент по его введению проводится с 01.07.2022 по 31.12.2022. </w:t>
      </w:r>
    </w:p>
    <w:p>
      <w:pPr>
        <w:pStyle w:val="ListParagraph"/>
        <w:tabs>
          <w:tab w:val="clear" w:pos="708"/>
          <w:tab w:val="left" w:pos="284" w:leader="none"/>
        </w:tabs>
        <w:spacing w:lineRule="exact" w:line="340"/>
        <w:ind w:left="0" w:firstLine="567"/>
        <w:jc w:val="both"/>
        <w:rPr>
          <w:i/>
          <w:i/>
        </w:rPr>
      </w:pPr>
      <w:r>
        <w:rPr>
          <w:i/>
        </w:rPr>
        <w:t>ЕНП – это упрощенный порядок уплаты налогов, страховых взносов и других обязательных платежей в бюджеты – все они списываются автоматически из средств на специальном счете в Федеральном казначействе.</w:t>
      </w:r>
    </w:p>
    <w:p>
      <w:pPr>
        <w:pStyle w:val="ListParagraph"/>
        <w:tabs>
          <w:tab w:val="clear" w:pos="708"/>
          <w:tab w:val="left" w:pos="284" w:leader="none"/>
        </w:tabs>
        <w:spacing w:lineRule="exact" w:line="340"/>
        <w:ind w:left="0" w:firstLine="567"/>
        <w:jc w:val="both"/>
        <w:rPr/>
      </w:pPr>
      <w:r>
        <w:rPr/>
        <w:t xml:space="preserve">При использовании ЕНП ниже риски ошибочных платежей (по сумме или в реквизитах). Таким образом снижается вероятность получить штраф или отказ в поддержке из-за недоимки. При этом сокращается число платежек, а счет в казначействе может пополнить любое лицо (например, учредитель ООО). </w:t>
      </w:r>
    </w:p>
    <w:p>
      <w:pPr>
        <w:pStyle w:val="ListParagraph"/>
        <w:tabs>
          <w:tab w:val="clear" w:pos="708"/>
          <w:tab w:val="left" w:pos="284" w:leader="none"/>
        </w:tabs>
        <w:spacing w:lineRule="exact" w:line="340"/>
        <w:ind w:left="0" w:firstLine="567"/>
        <w:jc w:val="both"/>
        <w:rPr/>
      </w:pPr>
      <w:r>
        <w:rPr/>
        <w:t xml:space="preserve">Подать заявление о переходе на ЕНП можно только по телекоммуникационным каналам связи (ТКС) через оператора электронного документооборота. Если этот канал передачи данных в налоговую настроен, предприниматель может принять участие в эксперименте (применение ЕНП урегулировано в </w:t>
      </w:r>
      <w:hyperlink r:id="rId5">
        <w:r>
          <w:rPr/>
          <w:t>статье 45.2 Налогового кодекса РФ</w:t>
        </w:r>
      </w:hyperlink>
      <w:r>
        <w:rPr/>
        <w:t>).</w:t>
      </w:r>
    </w:p>
    <w:p>
      <w:pPr>
        <w:pStyle w:val="Normal"/>
        <w:spacing w:lineRule="exact" w:line="340" w:before="0" w:after="12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 16 мая</w:t>
      </w:r>
      <w:r>
        <w:rPr>
          <w:rFonts w:cs="Times New Roman" w:ascii="Times New Roman" w:hAnsi="Times New Roman"/>
          <w:sz w:val="24"/>
          <w:szCs w:val="24"/>
        </w:rPr>
        <w:t xml:space="preserve"> (в связи с тем, что 15 мая выходной) предприниматели и организации, привлекающие работников (в том числе по договорам подряда, оказания услуг или авторского заказа, если исполнители не являются самозанятыми / ИП),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должны:</w:t>
      </w:r>
    </w:p>
    <w:p>
      <w:pPr>
        <w:pStyle w:val="ListParagraph"/>
        <w:numPr>
          <w:ilvl w:val="0"/>
          <w:numId w:val="2"/>
        </w:numPr>
        <w:ind w:left="0" w:firstLine="567"/>
        <w:rPr/>
      </w:pPr>
      <w:r>
        <w:rPr/>
        <w:t xml:space="preserve">Уплатить </w:t>
      </w:r>
      <w:r>
        <w:rPr>
          <w:b/>
        </w:rPr>
        <w:t>страховые взносы</w:t>
      </w:r>
      <w:r>
        <w:rPr/>
        <w:t xml:space="preserve"> за работников за апрель: на пенсионное и медицинское страхование, страхование на случай временной нетрудоспособности и в связи с материнством – в налоговую инспекцию, а также страховые взносы на травматизм – в отделение ФСС.</w:t>
      </w:r>
    </w:p>
    <w:p>
      <w:pPr>
        <w:pStyle w:val="ListParagraph"/>
        <w:numPr>
          <w:ilvl w:val="0"/>
          <w:numId w:val="2"/>
        </w:numPr>
        <w:ind w:left="0" w:firstLine="567"/>
        <w:rPr/>
      </w:pPr>
      <w:r>
        <w:rPr/>
        <w:t xml:space="preserve">Сдать в отделение Пенсионного фонда отчет о застрахованных лицах </w:t>
      </w:r>
      <w:r>
        <w:rPr>
          <w:b/>
        </w:rPr>
        <w:t>СЗВ-М</w:t>
      </w:r>
      <w:r>
        <w:rPr/>
        <w:t xml:space="preserve"> за апрель.</w:t>
      </w:r>
    </w:p>
    <w:p>
      <w:pPr>
        <w:pStyle w:val="ListParagraph"/>
        <w:numPr>
          <w:ilvl w:val="0"/>
          <w:numId w:val="2"/>
        </w:numPr>
        <w:ind w:left="0" w:firstLine="567"/>
        <w:rPr/>
      </w:pPr>
      <w:r>
        <w:rPr>
          <w:lang w:eastAsia="ru-RU"/>
        </w:rPr>
        <w:t xml:space="preserve">Сдать </w:t>
      </w:r>
      <w:r>
        <w:rPr/>
        <w:t xml:space="preserve">в ПФР </w:t>
      </w:r>
      <w:r>
        <w:rPr>
          <w:lang w:eastAsia="ru-RU"/>
        </w:rPr>
        <w:t xml:space="preserve">отчет </w:t>
      </w:r>
      <w:r>
        <w:rPr>
          <w:b/>
          <w:lang w:eastAsia="ru-RU"/>
        </w:rPr>
        <w:t>СЗВ-ТД</w:t>
      </w:r>
      <w:r>
        <w:rPr>
          <w:lang w:eastAsia="ru-RU"/>
        </w:rPr>
        <w:t xml:space="preserve"> (е</w:t>
      </w:r>
      <w:r>
        <w:rPr/>
        <w:t xml:space="preserve">сли </w:t>
      </w:r>
      <w:r>
        <w:rPr>
          <w:lang w:eastAsia="ru-RU"/>
        </w:rPr>
        <w:t>в апреле были кадровые изменения: перевод, присвоение квалификации, заявление по ведению трудовой книжки или переименование работодателя)</w:t>
      </w:r>
      <w:r>
        <w:rPr/>
        <w:t>.</w:t>
      </w:r>
    </w:p>
    <w:p>
      <w:pPr>
        <w:pStyle w:val="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</w:t>
      </w:r>
      <w:r>
        <w:rPr>
          <w:rFonts w:cs="Times New Roman" w:ascii="Times New Roman" w:hAnsi="Times New Roman"/>
          <w:b/>
          <w:sz w:val="24"/>
          <w:szCs w:val="24"/>
        </w:rPr>
        <w:t>о 20 мая</w:t>
      </w:r>
      <w:r>
        <w:rPr>
          <w:rFonts w:cs="Times New Roman" w:ascii="Times New Roman" w:hAnsi="Times New Roman"/>
          <w:sz w:val="24"/>
          <w:szCs w:val="24"/>
        </w:rPr>
        <w:t xml:space="preserve"> импортеры товаров из государств Евразийского экономического союза должны </w:t>
      </w:r>
      <w:r>
        <w:rPr>
          <w:rFonts w:cs="Times New Roman" w:ascii="Times New Roman" w:hAnsi="Times New Roman"/>
          <w:b/>
          <w:sz w:val="24"/>
          <w:szCs w:val="24"/>
        </w:rPr>
        <w:t>уплатить НДС</w:t>
      </w:r>
      <w:r>
        <w:rPr>
          <w:rFonts w:cs="Times New Roman" w:ascii="Times New Roman" w:hAnsi="Times New Roman"/>
          <w:sz w:val="24"/>
          <w:szCs w:val="24"/>
        </w:rPr>
        <w:t xml:space="preserve"> и акцизы за апрель и представить по ним декларацию и документы в соответствии с Договором о Евразийском экономическом союзе.</w:t>
      </w:r>
    </w:p>
    <w:p>
      <w:pPr>
        <w:pStyle w:val="Normal"/>
        <w:ind w:firstLine="567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 25 мая:</w:t>
      </w:r>
    </w:p>
    <w:p>
      <w:pPr>
        <w:pStyle w:val="ListParagraph"/>
        <w:numPr>
          <w:ilvl w:val="0"/>
          <w:numId w:val="3"/>
        </w:numPr>
        <w:ind w:left="0" w:firstLine="567"/>
        <w:rPr/>
      </w:pPr>
      <w:r>
        <w:rPr/>
        <w:t xml:space="preserve">Самозанятые и ИП, применяющие спецрежим НПД, уплачивают </w:t>
      </w:r>
      <w:r>
        <w:rPr>
          <w:b/>
        </w:rPr>
        <w:t>налог за апрель</w:t>
      </w:r>
      <w:r>
        <w:rPr/>
        <w:t>.</w:t>
      </w:r>
    </w:p>
    <w:p>
      <w:pPr>
        <w:pStyle w:val="ListParagraph"/>
        <w:numPr>
          <w:ilvl w:val="0"/>
          <w:numId w:val="3"/>
        </w:numPr>
        <w:ind w:left="0" w:firstLine="567"/>
        <w:rPr/>
      </w:pPr>
      <w:r>
        <w:rPr/>
        <w:t xml:space="preserve">Организации и ИП уплачивают </w:t>
      </w:r>
      <w:r>
        <w:rPr>
          <w:b/>
        </w:rPr>
        <w:t>НДС</w:t>
      </w:r>
      <w:r>
        <w:rPr/>
        <w:t xml:space="preserve"> (1/3 от суммы налога) за I квартал 2022 года</w:t>
      </w:r>
      <w:r>
        <w:rPr>
          <w:i/>
        </w:rPr>
        <w:t>.</w:t>
      </w:r>
    </w:p>
    <w:p>
      <w:pPr>
        <w:pStyle w:val="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До 30 мая </w:t>
      </w:r>
      <w:r>
        <w:rPr>
          <w:rFonts w:cs="Times New Roman" w:ascii="Times New Roman" w:hAnsi="Times New Roman"/>
          <w:sz w:val="24"/>
          <w:szCs w:val="24"/>
        </w:rPr>
        <w:t xml:space="preserve">организации уплачивают </w:t>
      </w:r>
      <w:r>
        <w:rPr>
          <w:rFonts w:cs="Times New Roman" w:ascii="Times New Roman" w:hAnsi="Times New Roman"/>
          <w:b/>
          <w:sz w:val="24"/>
          <w:szCs w:val="24"/>
        </w:rPr>
        <w:t>налог на прибыль</w:t>
      </w:r>
      <w:r>
        <w:rPr>
          <w:rFonts w:cs="Times New Roman" w:ascii="Times New Roman" w:hAnsi="Times New Roman"/>
          <w:sz w:val="24"/>
          <w:szCs w:val="24"/>
        </w:rPr>
        <w:t xml:space="preserve"> и представляют по нему декларацию.</w:t>
      </w:r>
    </w:p>
    <w:p>
      <w:pPr>
        <w:pStyle w:val="Normal"/>
        <w:spacing w:before="0" w:after="160"/>
        <w:ind w:firstLine="567"/>
        <w:rPr/>
      </w:pPr>
      <w:r>
        <w:rPr>
          <w:rFonts w:cs="Times New Roman" w:ascii="Times New Roman" w:hAnsi="Times New Roman"/>
          <w:b/>
          <w:sz w:val="24"/>
          <w:szCs w:val="24"/>
        </w:rPr>
        <w:t>До 31 мая</w:t>
      </w:r>
      <w:r>
        <w:rPr>
          <w:rFonts w:cs="Times New Roman" w:ascii="Times New Roman" w:hAnsi="Times New Roman"/>
          <w:sz w:val="24"/>
          <w:szCs w:val="24"/>
        </w:rPr>
        <w:t xml:space="preserve"> уплачивают </w:t>
      </w:r>
      <w:r>
        <w:rPr>
          <w:rFonts w:cs="Times New Roman" w:ascii="Times New Roman" w:hAnsi="Times New Roman"/>
          <w:b/>
          <w:sz w:val="24"/>
          <w:szCs w:val="24"/>
        </w:rPr>
        <w:t>НДФЛ</w:t>
      </w:r>
      <w:r>
        <w:rPr>
          <w:rFonts w:cs="Times New Roman" w:ascii="Times New Roman" w:hAnsi="Times New Roman"/>
          <w:sz w:val="24"/>
          <w:szCs w:val="24"/>
        </w:rPr>
        <w:t xml:space="preserve"> с больничных и отпускных, если они были в мае. </w:t>
      </w:r>
      <w:r>
        <w:rPr>
          <w:rFonts w:cs="Times New Roman" w:ascii="Times New Roman" w:hAnsi="Times New Roman"/>
          <w:i/>
          <w:sz w:val="24"/>
          <w:szCs w:val="24"/>
        </w:rPr>
        <w:t>(Срок уплаты подоходного налога с отпускных и больничных отличается от срока уплаты «зарплатного» НДФЛ)</w:t>
      </w:r>
      <w:r>
        <w:rPr>
          <w:rFonts w:cs="Times New Roman" w:ascii="Times New Roman" w:hAnsi="Times New Roman"/>
          <w:sz w:val="24"/>
          <w:szCs w:val="24"/>
        </w:rPr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2c96"/>
    <w:pPr>
      <w:widowControl/>
      <w:bidi w:val="0"/>
      <w:spacing w:lineRule="auto" w:line="259" w:before="0" w:after="160"/>
      <w:jc w:val="left"/>
    </w:pPr>
    <w:rPr>
      <w:rFonts w:ascii="Calibri" w:hAnsi="Calibri" w:cs="" w:asciiTheme="minorHAnsi" w:cstheme="minorBidi" w:hAnsiTheme="minorHAnsi" w:eastAsia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a2c96"/>
    <w:rPr>
      <w:color w:val="0000FF" w:themeColor="hyperlink"/>
      <w:u w:val="single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3a2c96"/>
    <w:pPr>
      <w:spacing w:lineRule="auto" w:line="276" w:before="0" w:after="200"/>
      <w:ind w:left="720" w:hanging="0"/>
      <w:contextualSpacing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overnment.ru/docs/44997/" TargetMode="External"/><Relationship Id="rId3" Type="http://schemas.openxmlformats.org/officeDocument/2006/relationships/hyperlink" Target="https://service.nalog.ru/mera/" TargetMode="External"/><Relationship Id="rId4" Type="http://schemas.openxmlformats.org/officeDocument/2006/relationships/hyperlink" Target="https://&#1084;&#1089;&#1087;.&#1088;&#1092;/services/news/detail/edinyy-nalogovyy-platezh-dlya-predprinimateley-razbiraemsya-s-novovvedeniem/" TargetMode="External"/><Relationship Id="rId5" Type="http://schemas.openxmlformats.org/officeDocument/2006/relationships/hyperlink" Target="http://www.consultant.ru/document/cons_doc_LAW_19671/22278c6ff400384316ea081ec558cf59bfe6ec31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LibreOffice/7.0.6.2$Linux_X86_64 LibreOffice_project/00$Build-2</Application>
  <AppVersion>15.0000</AppVersion>
  <Pages>2</Pages>
  <Words>578</Words>
  <Characters>3364</Characters>
  <CharactersWithSpaces>3916</CharactersWithSpaces>
  <Paragraphs>23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2022-04-22T08:40:00Z</dcterms:created>
  <dc:creator>Сагитов Инсар Сагитович</dc:creator>
  <dc:description/>
  <dc:language>ru-RU</dc:language>
  <cp:lastModifiedBy>Ждан Юлия Сергеевна</cp:lastModifiedBy>
  <dcterms:modified xsi:type="dcterms:W3CDTF">2022-04-25T09:35:00Z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