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DD" w:rsidRDefault="004617DD" w:rsidP="004617DD">
      <w:pPr>
        <w:pStyle w:val="1"/>
        <w:tabs>
          <w:tab w:val="left" w:pos="8931"/>
        </w:tabs>
        <w:rPr>
          <w:b/>
          <w:bCs/>
          <w:sz w:val="96"/>
        </w:rPr>
      </w:pPr>
      <w:r w:rsidRPr="00AE02B7">
        <w:rPr>
          <w:b/>
          <w:bCs/>
          <w:sz w:val="200"/>
        </w:rPr>
        <w:t>ВЕСТНИК</w:t>
      </w:r>
    </w:p>
    <w:p w:rsidR="004617DD" w:rsidRDefault="004617DD" w:rsidP="004617DD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4617DD" w:rsidRDefault="004617DD" w:rsidP="004617DD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4617DD" w:rsidRDefault="004617DD" w:rsidP="004617DD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4617DD" w:rsidRDefault="004617DD" w:rsidP="004617DD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4617DD" w:rsidRDefault="004617DD" w:rsidP="004617DD">
      <w:pPr>
        <w:rPr>
          <w:b/>
          <w:i/>
          <w:color w:val="548DD4"/>
        </w:rPr>
      </w:pPr>
    </w:p>
    <w:p w:rsidR="004617DD" w:rsidRDefault="004617DD" w:rsidP="004617DD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4617DD" w:rsidRDefault="004617DD" w:rsidP="004617DD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>№  7</w:t>
      </w:r>
      <w:r>
        <w:rPr>
          <w:sz w:val="22"/>
          <w:szCs w:val="22"/>
        </w:rPr>
        <w:t xml:space="preserve"> от  </w:t>
      </w:r>
      <w:r>
        <w:rPr>
          <w:sz w:val="22"/>
          <w:szCs w:val="22"/>
        </w:rPr>
        <w:t xml:space="preserve">4 июня  </w:t>
      </w:r>
      <w:r>
        <w:rPr>
          <w:sz w:val="22"/>
          <w:szCs w:val="22"/>
        </w:rPr>
        <w:t xml:space="preserve">2024   года                                                       РАСПРОСТРАНЯЕТСЯ   </w:t>
      </w:r>
      <w:r>
        <w:rPr>
          <w:b/>
          <w:color w:val="FFFFFF"/>
          <w:sz w:val="22"/>
          <w:szCs w:val="22"/>
        </w:rPr>
        <w:t>БЕСПЛАТНО</w:t>
      </w:r>
    </w:p>
    <w:p w:rsidR="004617DD" w:rsidRDefault="004617DD" w:rsidP="004617DD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4617DD" w:rsidRDefault="004617DD" w:rsidP="004617DD">
      <w:pPr>
        <w:shd w:val="clear" w:color="auto" w:fill="0D0D0D"/>
        <w:ind w:left="-709" w:firstLine="709"/>
        <w:rPr>
          <w:b/>
          <w:i/>
          <w:sz w:val="22"/>
        </w:rPr>
      </w:pPr>
    </w:p>
    <w:p w:rsidR="004617DD" w:rsidRDefault="004617DD" w:rsidP="004617DD">
      <w:pPr>
        <w:ind w:left="-851"/>
        <w:jc w:val="center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493EE7EA" wp14:editId="0D53E9B5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4895850" cy="5295900"/>
            <wp:effectExtent l="0" t="0" r="0" b="0"/>
            <wp:wrapSquare wrapText="bothSides"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</w:p>
    <w:p w:rsidR="004617DD" w:rsidRDefault="004617DD" w:rsidP="004617DD">
      <w:pPr>
        <w:ind w:left="-851"/>
        <w:rPr>
          <w:b/>
          <w:sz w:val="28"/>
        </w:rPr>
      </w:pPr>
      <w:r>
        <w:rPr>
          <w:b/>
          <w:sz w:val="28"/>
        </w:rPr>
        <w:tab/>
      </w:r>
    </w:p>
    <w:p w:rsidR="004617DD" w:rsidRPr="004617DD" w:rsidRDefault="004617DD" w:rsidP="004617DD">
      <w:pPr>
        <w:ind w:left="3540"/>
        <w:rPr>
          <w:rFonts w:ascii="Cambria" w:hAnsi="Cambria"/>
          <w:sz w:val="28"/>
          <w:szCs w:val="28"/>
        </w:rPr>
      </w:pPr>
      <w:r w:rsidRPr="004617DD">
        <w:rPr>
          <w:rFonts w:ascii="Cambria" w:hAnsi="Cambria"/>
          <w:sz w:val="28"/>
          <w:szCs w:val="28"/>
        </w:rPr>
        <w:t xml:space="preserve">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</w:t>
      </w:r>
      <w:r>
        <w:rPr>
          <w:noProof/>
        </w:rPr>
        <w:lastRenderedPageBreak/>
        <w:drawing>
          <wp:inline distT="0" distB="0" distL="0" distR="0" wp14:anchorId="19F98C55" wp14:editId="15894A8F">
            <wp:extent cx="76454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7DD" w:rsidRPr="004617DD" w:rsidRDefault="004617DD" w:rsidP="004617DD">
      <w:pPr>
        <w:rPr>
          <w:b/>
          <w:sz w:val="28"/>
        </w:rPr>
      </w:pPr>
      <w:r w:rsidRPr="004617DD">
        <w:rPr>
          <w:rFonts w:ascii="Cambria" w:hAnsi="Cambria"/>
          <w:sz w:val="28"/>
          <w:szCs w:val="28"/>
        </w:rPr>
        <w:t xml:space="preserve">                                                   </w:t>
      </w:r>
      <w:r>
        <w:rPr>
          <w:b/>
          <w:sz w:val="28"/>
        </w:rPr>
        <w:t xml:space="preserve">СОВЕТ </w:t>
      </w:r>
      <w:r w:rsidRPr="004617DD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ОКТЯБРЬСКОГО</w:t>
      </w:r>
      <w:proofErr w:type="gramEnd"/>
      <w:r>
        <w:rPr>
          <w:b/>
          <w:sz w:val="28"/>
        </w:rPr>
        <w:t xml:space="preserve">  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4617DD" w:rsidRDefault="004617DD" w:rsidP="004617DD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4617DD" w:rsidRDefault="004617DD" w:rsidP="004617DD">
      <w:pPr>
        <w:jc w:val="center"/>
        <w:rPr>
          <w:b/>
          <w:sz w:val="28"/>
        </w:rPr>
      </w:pPr>
    </w:p>
    <w:p w:rsidR="004617DD" w:rsidRPr="004617DD" w:rsidRDefault="004617DD" w:rsidP="004617DD">
      <w:pPr>
        <w:pStyle w:val="11"/>
        <w:rPr>
          <w:rFonts w:ascii="Times New Roman" w:hAnsi="Times New Roman"/>
          <w:b/>
          <w:sz w:val="28"/>
        </w:rPr>
      </w:pPr>
      <w:r w:rsidRPr="004617DD">
        <w:rPr>
          <w:rFonts w:ascii="Times New Roman" w:hAnsi="Times New Roman"/>
          <w:b/>
          <w:sz w:val="23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   № 4</w:t>
      </w:r>
      <w:r w:rsidRPr="004617DD">
        <w:rPr>
          <w:rFonts w:ascii="Times New Roman" w:hAnsi="Times New Roman"/>
          <w:b/>
          <w:sz w:val="28"/>
        </w:rPr>
        <w:t>41</w:t>
      </w:r>
      <w:r>
        <w:rPr>
          <w:rFonts w:ascii="Times New Roman" w:hAnsi="Times New Roman"/>
          <w:b/>
          <w:sz w:val="28"/>
        </w:rPr>
        <w:t>-71</w:t>
      </w:r>
      <w:r w:rsidRPr="004617DD">
        <w:rPr>
          <w:rFonts w:ascii="Times New Roman" w:hAnsi="Times New Roman"/>
          <w:b/>
          <w:sz w:val="28"/>
        </w:rPr>
        <w:t>4</w:t>
      </w:r>
    </w:p>
    <w:p w:rsidR="004617DD" w:rsidRDefault="004617DD" w:rsidP="004617DD">
      <w:pPr>
        <w:rPr>
          <w:b/>
          <w:sz w:val="28"/>
          <w:szCs w:val="28"/>
        </w:rPr>
      </w:pPr>
      <w:r w:rsidRPr="004617DD"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от  08  </w:t>
      </w:r>
      <w:r w:rsidRPr="00461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 2024 года </w:t>
      </w:r>
    </w:p>
    <w:p w:rsidR="004617DD" w:rsidRDefault="004617DD" w:rsidP="004617DD">
      <w:pPr>
        <w:pStyle w:val="a7"/>
        <w:jc w:val="left"/>
      </w:pPr>
      <w:r>
        <w:t>О внесении дополнений в  решение</w:t>
      </w:r>
    </w:p>
    <w:p w:rsidR="004617DD" w:rsidRDefault="004617DD" w:rsidP="004617DD">
      <w:pPr>
        <w:pStyle w:val="a7"/>
        <w:jc w:val="left"/>
      </w:pPr>
      <w:r>
        <w:t xml:space="preserve">Октябрьского  муниципального </w:t>
      </w:r>
    </w:p>
    <w:p w:rsidR="004617DD" w:rsidRDefault="004617DD" w:rsidP="004617DD">
      <w:pPr>
        <w:pStyle w:val="a7"/>
        <w:jc w:val="left"/>
      </w:pPr>
      <w:r>
        <w:t xml:space="preserve">образования  №376-590 от 21.06.2021 года </w:t>
      </w:r>
    </w:p>
    <w:p w:rsidR="004617DD" w:rsidRDefault="004617DD" w:rsidP="004617DD">
      <w:pPr>
        <w:pStyle w:val="a7"/>
        <w:jc w:val="left"/>
      </w:pPr>
      <w:r>
        <w:t>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</w:p>
    <w:p w:rsidR="004617DD" w:rsidRDefault="004617DD" w:rsidP="004617DD">
      <w:pPr>
        <w:ind w:firstLine="709"/>
        <w:jc w:val="both"/>
        <w:rPr>
          <w:sz w:val="28"/>
        </w:rPr>
      </w:pPr>
      <w:r>
        <w:rPr>
          <w:sz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Октябрьского  муниципального образования Дергачевского муниципального района Саратовской области, на основании протеста прокуратуры Дергачевского муниципального района Саратовской области</w:t>
      </w:r>
    </w:p>
    <w:p w:rsidR="004617DD" w:rsidRDefault="004617DD" w:rsidP="004617DD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sz w:val="28"/>
        </w:rPr>
        <w:t>Совет решил:</w:t>
      </w:r>
    </w:p>
    <w:p w:rsidR="004617DD" w:rsidRPr="00DF4154" w:rsidRDefault="004617DD" w:rsidP="004617DD">
      <w:pPr>
        <w:pStyle w:val="a7"/>
        <w:jc w:val="left"/>
        <w:rPr>
          <w:b w:val="0"/>
        </w:rPr>
      </w:pPr>
      <w:r>
        <w:rPr>
          <w:b w:val="0"/>
        </w:rPr>
        <w:t>Внести  в решение</w:t>
      </w:r>
      <w:r w:rsidRPr="00DF4154">
        <w:t xml:space="preserve"> </w:t>
      </w:r>
      <w:r w:rsidRPr="00DF4154">
        <w:rPr>
          <w:b w:val="0"/>
        </w:rPr>
        <w:t>Октябрьского  муниципального образования  №376-590 от 21.06.2021 года «Об утверждении Положения» О порядке назначения и проведения опроса граждан на территории Октябрьского муниципального образования Дергачевского муниципального района Саратовской области»</w:t>
      </w:r>
      <w:r>
        <w:rPr>
          <w:b w:val="0"/>
        </w:rPr>
        <w:t xml:space="preserve"> следующие дополнения:</w:t>
      </w:r>
    </w:p>
    <w:p w:rsidR="004617DD" w:rsidRPr="00DF4154" w:rsidRDefault="004617DD" w:rsidP="004617DD">
      <w:pPr>
        <w:pStyle w:val="a7"/>
        <w:jc w:val="both"/>
      </w:pPr>
      <w:r>
        <w:t>1.</w:t>
      </w:r>
      <w:r>
        <w:rPr>
          <w:b w:val="0"/>
        </w:rPr>
        <w:t>Пункт4.2.1раздела4дополнить: нормативно правовой акт представительного органа муниципального образования о назначении опроса граждан подлежит опубликовани</w:t>
      </w:r>
      <w:proofErr w:type="gramStart"/>
      <w:r>
        <w:rPr>
          <w:b w:val="0"/>
        </w:rPr>
        <w:t>ю(</w:t>
      </w:r>
      <w:proofErr w:type="gramEnd"/>
      <w:r>
        <w:rPr>
          <w:b w:val="0"/>
        </w:rPr>
        <w:t xml:space="preserve">обнародованию) в </w:t>
      </w:r>
      <w:proofErr w:type="spellStart"/>
      <w:r>
        <w:rPr>
          <w:b w:val="0"/>
        </w:rPr>
        <w:t>порядке,предусмотренным</w:t>
      </w:r>
      <w:proofErr w:type="spellEnd"/>
      <w:r>
        <w:rPr>
          <w:b w:val="0"/>
        </w:rPr>
        <w:t xml:space="preserve"> уставом муниципального образования </w:t>
      </w:r>
      <w:proofErr w:type="spellStart"/>
      <w:r>
        <w:rPr>
          <w:b w:val="0"/>
        </w:rPr>
        <w:t>области,не</w:t>
      </w:r>
      <w:proofErr w:type="spellEnd"/>
      <w:r>
        <w:rPr>
          <w:b w:val="0"/>
        </w:rPr>
        <w:t xml:space="preserve"> менее чем за десять дней до дня проведения опроса граждан;</w:t>
      </w:r>
    </w:p>
    <w:p w:rsidR="004617DD" w:rsidRDefault="004617DD" w:rsidP="004617DD">
      <w:pPr>
        <w:jc w:val="both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 xml:space="preserve">. Пункт 5.8 дополнить:  за счёт средств областного бюджета-при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опроса граждан по инициативе Правительства области. </w:t>
      </w:r>
    </w:p>
    <w:p w:rsidR="004617DD" w:rsidRDefault="004617DD" w:rsidP="004617DD">
      <w:pPr>
        <w:jc w:val="both"/>
        <w:rPr>
          <w:sz w:val="28"/>
        </w:rPr>
      </w:pPr>
    </w:p>
    <w:p w:rsidR="004617DD" w:rsidRPr="001439BC" w:rsidRDefault="004617DD" w:rsidP="004617DD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4617DD" w:rsidRDefault="004617DD" w:rsidP="004617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4617DD" w:rsidRDefault="004617DD" w:rsidP="004617DD">
      <w:pPr>
        <w:pStyle w:val="a7"/>
        <w:jc w:val="both"/>
      </w:pPr>
      <w:r>
        <w:t>Глава Октябрьского МО</w:t>
      </w:r>
      <w:r>
        <w:tab/>
      </w:r>
      <w:r>
        <w:tab/>
        <w:t xml:space="preserve">                          </w:t>
      </w:r>
      <w:proofErr w:type="spellStart"/>
      <w:r>
        <w:t>К.К.Джакияева</w:t>
      </w:r>
      <w:proofErr w:type="spellEnd"/>
    </w:p>
    <w:p w:rsidR="004617DD" w:rsidRDefault="004617DD" w:rsidP="004617DD"/>
    <w:p w:rsidR="004617DD" w:rsidRDefault="004617DD" w:rsidP="004617DD"/>
    <w:p w:rsidR="004617DD" w:rsidRDefault="004617DD" w:rsidP="004617DD">
      <w:pPr>
        <w:jc w:val="center"/>
        <w:rPr>
          <w:b/>
          <w:sz w:val="28"/>
          <w:szCs w:val="28"/>
        </w:rPr>
      </w:pPr>
      <w:r>
        <w:t xml:space="preserve">     </w:t>
      </w:r>
      <w:r>
        <w:t xml:space="preserve">            </w:t>
      </w:r>
      <w:r>
        <w:rPr>
          <w:b/>
          <w:sz w:val="28"/>
          <w:szCs w:val="28"/>
        </w:rPr>
        <w:t>Совет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442-715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мая 2024 года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Октябрьского</w:t>
      </w:r>
    </w:p>
    <w:p w:rsidR="004617DD" w:rsidRPr="00184591" w:rsidRDefault="004617DD" w:rsidP="004617DD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4617DD" w:rsidRDefault="004617DD" w:rsidP="004617DD">
      <w:pPr>
        <w:rPr>
          <w:b/>
          <w:sz w:val="28"/>
          <w:szCs w:val="28"/>
        </w:rPr>
      </w:pPr>
      <w:r>
        <w:rPr>
          <w:b/>
        </w:rPr>
        <w:t>от 22.12.2023 года №434-696</w:t>
      </w:r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gramStart"/>
      <w:r>
        <w:rPr>
          <w:b/>
        </w:rPr>
        <w:t>Октябрьского</w:t>
      </w:r>
      <w:proofErr w:type="gramEnd"/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24</w:t>
      </w:r>
      <w:r w:rsidRPr="00735233">
        <w:rPr>
          <w:b/>
        </w:rPr>
        <w:t xml:space="preserve"> год </w:t>
      </w:r>
    </w:p>
    <w:p w:rsidR="004617DD" w:rsidRPr="00735233" w:rsidRDefault="004617DD" w:rsidP="004617DD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5</w:t>
      </w:r>
      <w:r w:rsidRPr="00735233">
        <w:rPr>
          <w:b/>
        </w:rPr>
        <w:t xml:space="preserve"> и 202</w:t>
      </w:r>
      <w:r>
        <w:rPr>
          <w:b/>
        </w:rPr>
        <w:t>6</w:t>
      </w:r>
      <w:r w:rsidRPr="00735233">
        <w:rPr>
          <w:b/>
        </w:rPr>
        <w:t xml:space="preserve"> годов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Pr="005F6CCB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617DD" w:rsidRPr="005F6CCB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Октябрьского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октябрьского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24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22.12.2023 года №434-696 следующие изменения:</w:t>
      </w:r>
    </w:p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5378,2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6233,9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4617DD" w:rsidRPr="00881511" w:rsidRDefault="004617DD" w:rsidP="004617DD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617DD" w:rsidRPr="00866AC1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 w:rsidRPr="00866AC1">
        <w:rPr>
          <w:i/>
          <w:sz w:val="28"/>
          <w:szCs w:val="28"/>
        </w:rPr>
        <w:t xml:space="preserve">1.2 </w:t>
      </w:r>
      <w:r w:rsidRPr="00866AC1">
        <w:rPr>
          <w:sz w:val="28"/>
          <w:szCs w:val="28"/>
        </w:rPr>
        <w:t>приложение 1</w:t>
      </w:r>
      <w:r w:rsidRPr="00866AC1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866AC1">
        <w:rPr>
          <w:bCs/>
          <w:sz w:val="28"/>
        </w:rPr>
        <w:t>Безвозмездные поступления в бюджет Октябрьского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866AC1">
        <w:rPr>
          <w:bCs/>
          <w:sz w:val="28"/>
        </w:rPr>
        <w:t>на 2024 год и плановый период 2025 и 2026 годов</w:t>
      </w:r>
      <w:r>
        <w:rPr>
          <w:bCs/>
          <w:sz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Pr="00866AC1" w:rsidRDefault="004617DD" w:rsidP="004617DD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3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D3553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Октябрьского</w:t>
      </w:r>
    </w:p>
    <w:p w:rsidR="004617DD" w:rsidRDefault="004617DD" w:rsidP="004617D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1.5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4 к настоящему решению</w:t>
      </w:r>
      <w:r w:rsidRPr="00CE37F3">
        <w:rPr>
          <w:sz w:val="28"/>
          <w:szCs w:val="28"/>
        </w:rPr>
        <w:t>;</w:t>
      </w:r>
    </w:p>
    <w:p w:rsidR="004617DD" w:rsidRPr="00D3553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1.6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5 к настоящему решению</w:t>
      </w:r>
      <w:r w:rsidRPr="00CE37F3">
        <w:rPr>
          <w:sz w:val="28"/>
          <w:szCs w:val="28"/>
        </w:rPr>
        <w:t>;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Pr="00C36F8A" w:rsidRDefault="004617DD" w:rsidP="004617D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617DD" w:rsidRDefault="004617DD" w:rsidP="00461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617DD" w:rsidRDefault="004617DD" w:rsidP="004617D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both"/>
        <w:rPr>
          <w:sz w:val="28"/>
          <w:szCs w:val="28"/>
        </w:rPr>
      </w:pP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4617DD" w:rsidRDefault="004617DD" w:rsidP="004617DD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4617DD" w:rsidRDefault="004617DD" w:rsidP="004617D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4617DD" w:rsidRDefault="004617DD" w:rsidP="004617D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869"/>
        <w:gridCol w:w="935"/>
        <w:gridCol w:w="805"/>
        <w:gridCol w:w="782"/>
      </w:tblGrid>
      <w:tr w:rsidR="004617DD" w:rsidRPr="00405122" w:rsidTr="00900AC4">
        <w:trPr>
          <w:trHeight w:val="28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4617DD" w:rsidRPr="00405122" w:rsidTr="00900AC4">
        <w:trPr>
          <w:trHeight w:val="339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4617DD" w:rsidRPr="00957F0A" w:rsidTr="00900AC4">
        <w:trPr>
          <w:trHeight w:val="339"/>
        </w:trPr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2927,6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31,8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33,3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34,4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lastRenderedPageBreak/>
              <w:t>000 202 16001 10 0002 150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563,0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pPr>
              <w:spacing w:after="200" w:line="276" w:lineRule="auto"/>
              <w:jc w:val="center"/>
            </w:pPr>
            <w:r>
              <w:t>658,6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r>
              <w:t>2106,2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spacing w:line="276" w:lineRule="auto"/>
              <w:ind w:left="-108"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000 202 29999 10 0073 150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</w:pPr>
            <w: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591,2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/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/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8A178E" w:rsidRDefault="004617DD" w:rsidP="00900AC4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Pr="008A178E" w:rsidRDefault="004617DD" w:rsidP="00900AC4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Pr="008A178E" w:rsidRDefault="004617DD" w:rsidP="00900AC4">
            <w:r>
              <w:t>0,0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7E2CCD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7E2CCD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Pr="00405122" w:rsidRDefault="004617DD" w:rsidP="00900AC4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RPr="00957F0A" w:rsidTr="00900AC4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</w:pPr>
            <w:r>
              <w:rPr>
                <w:bCs/>
              </w:rPr>
              <w:t>000 202 49999 10000 150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7DD" w:rsidRDefault="004617DD" w:rsidP="00900AC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87,8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4617DD" w:rsidRDefault="004617DD" w:rsidP="004617D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4617DD" w:rsidRPr="009B0A37" w:rsidTr="00900AC4">
        <w:trPr>
          <w:trHeight w:val="318"/>
        </w:trPr>
        <w:tc>
          <w:tcPr>
            <w:tcW w:w="2641" w:type="dxa"/>
            <w:vMerge w:val="restart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4617DD" w:rsidRPr="009B0A37" w:rsidTr="00900AC4">
        <w:trPr>
          <w:trHeight w:val="234"/>
        </w:trPr>
        <w:tc>
          <w:tcPr>
            <w:tcW w:w="2641" w:type="dxa"/>
            <w:vMerge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2450,6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2176,9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609,0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66,0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543,0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273,7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</w:t>
            </w:r>
            <w:r w:rsidRPr="007844A5">
              <w:rPr>
                <w:bCs/>
              </w:rPr>
              <w:lastRenderedPageBreak/>
              <w:t>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lastRenderedPageBreak/>
              <w:t>231,5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</w:pPr>
            <w:r>
              <w:lastRenderedPageBreak/>
              <w:t>1 17 15030 10 2033 150</w:t>
            </w:r>
          </w:p>
        </w:tc>
        <w:tc>
          <w:tcPr>
            <w:tcW w:w="4535" w:type="dxa"/>
            <w:hideMark/>
          </w:tcPr>
          <w:p w:rsidR="004617DD" w:rsidRPr="007844A5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граждан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4617DD" w:rsidRPr="009B0A37" w:rsidTr="00900AC4">
        <w:tc>
          <w:tcPr>
            <w:tcW w:w="264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</w:pPr>
            <w:r>
              <w:t>1 17 15030 10 3033 150</w:t>
            </w:r>
          </w:p>
        </w:tc>
        <w:tc>
          <w:tcPr>
            <w:tcW w:w="4535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индивидуальных предпринимателей и юридических лиц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4617DD" w:rsidRDefault="004617DD" w:rsidP="004617DD">
      <w:pPr>
        <w:jc w:val="center"/>
      </w:pPr>
    </w:p>
    <w:p w:rsidR="004617DD" w:rsidRDefault="004617DD" w:rsidP="004617DD">
      <w:pPr>
        <w:jc w:val="center"/>
        <w:rPr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  <w:highlight w:val="yellow"/>
        </w:rPr>
      </w:pPr>
    </w:p>
    <w:p w:rsidR="004617DD" w:rsidRDefault="004617DD" w:rsidP="00461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4617DD" w:rsidRDefault="004617DD" w:rsidP="00461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RPr="005A1B5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</w:pPr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r w:rsidRPr="00FC2AC1">
              <w:rPr>
                <w:rFonts w:ascii="Times New Roman" w:hAnsi="Times New Roman" w:cs="Times New Roman"/>
              </w:rPr>
              <w:lastRenderedPageBreak/>
              <w:t xml:space="preserve">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966B87" w:rsidRDefault="004617DD" w:rsidP="00900AC4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6B1300" w:rsidRDefault="004617DD" w:rsidP="00900AC4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F3ED0" w:rsidRDefault="004617DD" w:rsidP="00900AC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D034ED" w:rsidRDefault="004617DD" w:rsidP="00900AC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E38E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8E7A71" w:rsidRDefault="004617DD" w:rsidP="00900AC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 xml:space="preserve">водопроводных сетей села Красная Речка Октябрьского муниципального </w:t>
            </w:r>
            <w:r>
              <w:rPr>
                <w:bCs/>
              </w:rPr>
              <w:lastRenderedPageBreak/>
              <w:t>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 xml:space="preserve">Обеспечение деятельности по </w:t>
            </w:r>
            <w:r w:rsidRPr="007F6851">
              <w:lastRenderedPageBreak/>
              <w:t>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Default="004617DD" w:rsidP="00900AC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RPr="005A1B5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A1B56" w:rsidRDefault="004617DD" w:rsidP="00900AC4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</w:pPr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4617DD" w:rsidRPr="00FC2AC1" w:rsidRDefault="004617DD" w:rsidP="00900AC4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966B87" w:rsidRDefault="004617DD" w:rsidP="00900AC4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6B1300" w:rsidRDefault="004617DD" w:rsidP="00900AC4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883,0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033AB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416EC9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525C1" w:rsidRDefault="004617DD" w:rsidP="00900AC4">
            <w:pPr>
              <w:spacing w:after="200" w:line="276" w:lineRule="auto"/>
              <w:jc w:val="center"/>
            </w:pPr>
            <w:r>
              <w:t>1186,5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929,7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775,6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RPr="00746537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F3ED0" w:rsidRDefault="004617DD" w:rsidP="00900AC4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20790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46537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46537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617DD" w:rsidRPr="005E38E7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RPr="00580E46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580E46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580E46" w:rsidRDefault="004617DD" w:rsidP="00900AC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Default="004617DD" w:rsidP="00900AC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E66E57" w:rsidRDefault="004617DD" w:rsidP="00900AC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E7A71" w:rsidRDefault="004617DD" w:rsidP="00900AC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Осуществление дорожной деятельности в </w:t>
            </w:r>
            <w:r>
              <w:lastRenderedPageBreak/>
              <w:t xml:space="preserve">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17DD" w:rsidRPr="007F6851" w:rsidRDefault="004617DD" w:rsidP="00900AC4">
            <w:pPr>
              <w:jc w:val="center"/>
            </w:pPr>
            <w:r>
              <w:t>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 xml:space="preserve">водопроводных сетей села Красная Речка Октябрьского </w:t>
            </w:r>
            <w:r>
              <w:rPr>
                <w:bCs/>
              </w:rPr>
              <w:lastRenderedPageBreak/>
              <w:t>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617DD" w:rsidRPr="007F6851" w:rsidRDefault="004617DD" w:rsidP="00900AC4">
            <w:pPr>
              <w:jc w:val="center"/>
            </w:pPr>
            <w: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7F6851" w:rsidTr="00900AC4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RPr="005A1B56" w:rsidTr="00900AC4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№442-715 от.31.05.2024. г</w:t>
      </w:r>
    </w:p>
    <w:p w:rsidR="004617DD" w:rsidRDefault="004617DD" w:rsidP="004617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4617DD" w:rsidRDefault="004617DD" w:rsidP="00461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4617DD" w:rsidTr="00900AC4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2026 год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D72033" w:rsidRDefault="004617DD" w:rsidP="00900AC4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262515" w:rsidRDefault="004617DD" w:rsidP="00900AC4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DE12FA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1291,9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Pr="00D72033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айона Саратовской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Pr="00660DF8" w:rsidRDefault="004617DD" w:rsidP="00900AC4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184F04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Pr="00184F04" w:rsidRDefault="004617DD" w:rsidP="00900A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r>
              <w:t>2003,0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r>
              <w:t>1812,7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</w:pPr>
            <w:r>
              <w:t>1658,6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120,0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67B22" w:rsidRDefault="004617DD" w:rsidP="00900AC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34,1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167,5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133,0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D21C9" w:rsidRDefault="004617DD" w:rsidP="00900AC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34,5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F53F22" w:rsidRDefault="004617DD" w:rsidP="00900AC4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20,8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19,2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1,6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RPr="008136B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8136BD" w:rsidRDefault="004617DD" w:rsidP="00900A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5E38E7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  <w:r>
              <w:t>1,0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230392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both"/>
            </w:pPr>
            <w:r>
              <w:t>6170400000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676E8E" w:rsidRDefault="004617DD" w:rsidP="00900AC4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703,8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Default="004617DD" w:rsidP="00900AC4">
            <w:pPr>
              <w:jc w:val="center"/>
            </w:pPr>
            <w: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296377" w:rsidRDefault="004617DD" w:rsidP="00900AC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79317A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F84982" w:rsidRDefault="004617DD" w:rsidP="00900AC4">
            <w:pPr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0C2342" w:rsidRDefault="004617DD" w:rsidP="00900AC4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617DD" w:rsidRPr="008521AC" w:rsidRDefault="004617DD" w:rsidP="00900AC4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Default="004617DD" w:rsidP="00900AC4">
            <w:pPr>
              <w:jc w:val="center"/>
            </w:pP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386B80" w:rsidRDefault="004617DD" w:rsidP="00900AC4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00736B" w:rsidRDefault="004617DD" w:rsidP="00900AC4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17DD" w:rsidRPr="007F6851" w:rsidRDefault="004617DD" w:rsidP="00900AC4">
            <w:pPr>
              <w:jc w:val="center"/>
            </w:pPr>
            <w: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7DD" w:rsidRPr="007F6851" w:rsidRDefault="004617DD" w:rsidP="00900AC4">
            <w:pPr>
              <w:jc w:val="center"/>
            </w:pPr>
            <w:r>
              <w:t>141,5</w:t>
            </w:r>
          </w:p>
        </w:tc>
      </w:tr>
      <w:tr w:rsidR="004617DD" w:rsidTr="00900AC4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617DD" w:rsidRPr="00895A02" w:rsidRDefault="004617DD" w:rsidP="00900AC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895A02" w:rsidRDefault="004617DD" w:rsidP="00900AC4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7DD" w:rsidRPr="005A1B56" w:rsidRDefault="004617DD" w:rsidP="00900AC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right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4617DD" w:rsidRPr="009944C7" w:rsidRDefault="004617DD" w:rsidP="004617DD">
      <w:pPr>
        <w:jc w:val="both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4617DD" w:rsidRPr="009944C7" w:rsidTr="00900AC4">
        <w:trPr>
          <w:trHeight w:val="288"/>
        </w:trPr>
        <w:tc>
          <w:tcPr>
            <w:tcW w:w="3794" w:type="dxa"/>
            <w:vMerge w:val="restart"/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617DD" w:rsidRPr="009944C7" w:rsidTr="00900AC4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Pr="00585021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047</w:t>
            </w:r>
            <w:r w:rsidRPr="0058502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 202 29999 10 0073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047 117 15030 10 2033 150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4617DD" w:rsidRPr="009944C7" w:rsidTr="00900AC4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047 117 15030 10 3033 150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21 112,56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Pr="009944C7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182 106 01030 10 1000 150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182 106 06033  10 1000 110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372"/>
        </w:trPr>
        <w:tc>
          <w:tcPr>
            <w:tcW w:w="3794" w:type="dxa"/>
          </w:tcPr>
          <w:p w:rsidR="004617DD" w:rsidRDefault="004617DD" w:rsidP="00900AC4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182 106 06043 10 1000 110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7DD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4617DD" w:rsidRPr="009944C7" w:rsidTr="00900AC4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663 376,8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663 376,8</w:t>
            </w:r>
          </w:p>
        </w:tc>
      </w:tr>
    </w:tbl>
    <w:p w:rsidR="004617DD" w:rsidRDefault="004617DD" w:rsidP="004617DD">
      <w:pPr>
        <w:jc w:val="both"/>
        <w:rPr>
          <w:b/>
          <w:sz w:val="28"/>
          <w:szCs w:val="28"/>
        </w:rPr>
      </w:pPr>
    </w:p>
    <w:p w:rsidR="004617DD" w:rsidRDefault="004617DD" w:rsidP="004617DD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4617DD" w:rsidRPr="009944C7" w:rsidRDefault="004617DD" w:rsidP="004617DD">
      <w:pPr>
        <w:jc w:val="both"/>
        <w:rPr>
          <w:bCs/>
          <w:sz w:val="28"/>
          <w:szCs w:val="28"/>
        </w:rPr>
      </w:pPr>
    </w:p>
    <w:tbl>
      <w:tblPr>
        <w:tblStyle w:val="ae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4617DD" w:rsidRPr="009944C7" w:rsidTr="00900AC4">
        <w:trPr>
          <w:trHeight w:val="288"/>
        </w:trPr>
        <w:tc>
          <w:tcPr>
            <w:tcW w:w="4644" w:type="dxa"/>
            <w:vMerge w:val="restart"/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617DD" w:rsidRPr="009944C7" w:rsidTr="00900AC4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047.0502.6170472104.244.225.922.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591 151,68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9944C7" w:rsidRDefault="004617DD" w:rsidP="0090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591 151,68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S2174.244.225.922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70 375,20</w:t>
            </w:r>
          </w:p>
        </w:tc>
      </w:tr>
      <w:tr w:rsidR="004617DD" w:rsidRPr="009944C7" w:rsidTr="00900AC4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S2184.244.225.922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047.0502.61704</w:t>
            </w:r>
            <w:r>
              <w:rPr>
                <w:sz w:val="28"/>
                <w:szCs w:val="28"/>
                <w:lang w:val="en-US"/>
              </w:rPr>
              <w:t>S2194.244.225.922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21 112,56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-3 200,52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-3 200,52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047.0503.6190005100.244.226.502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-15 506,52</w:t>
            </w:r>
          </w:p>
        </w:tc>
      </w:tr>
      <w:tr w:rsidR="004617DD" w:rsidRPr="009944C7" w:rsidTr="00900AC4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047.0503.6190005100.244.346.502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-21 668,16</w:t>
            </w:r>
          </w:p>
        </w:tc>
      </w:tr>
      <w:tr w:rsidR="004617DD" w:rsidRPr="009944C7" w:rsidTr="00900AC4">
        <w:tc>
          <w:tcPr>
            <w:tcW w:w="4644" w:type="dxa"/>
            <w:tcBorders>
              <w:top w:val="single" w:sz="4" w:space="0" w:color="auto"/>
            </w:tcBorders>
          </w:tcPr>
          <w:p w:rsidR="004617DD" w:rsidRPr="009944C7" w:rsidRDefault="004617DD" w:rsidP="00900AC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4617DD" w:rsidRPr="007E67D7" w:rsidRDefault="004617DD" w:rsidP="00900AC4">
            <w:pPr>
              <w:pStyle w:val="ac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663 376,8</w:t>
            </w:r>
          </w:p>
        </w:tc>
      </w:tr>
    </w:tbl>
    <w:p w:rsidR="004617DD" w:rsidRDefault="004617DD" w:rsidP="004617DD">
      <w:pPr>
        <w:jc w:val="center"/>
        <w:rPr>
          <w:b/>
          <w:sz w:val="28"/>
          <w:szCs w:val="28"/>
        </w:rPr>
      </w:pPr>
    </w:p>
    <w:p w:rsidR="004617DD" w:rsidRDefault="004617DD" w:rsidP="004617DD">
      <w:pPr>
        <w:pStyle w:val="a7"/>
        <w:jc w:val="both"/>
      </w:pPr>
    </w:p>
    <w:p w:rsidR="004617DD" w:rsidRDefault="004617DD" w:rsidP="004617DD"/>
    <w:p w:rsidR="004617DD" w:rsidRDefault="004617DD" w:rsidP="004617DD"/>
    <w:p w:rsidR="004617DD" w:rsidRPr="00C10E2C" w:rsidRDefault="004617DD" w:rsidP="004617DD">
      <w:pPr>
        <w:tabs>
          <w:tab w:val="left" w:pos="2899"/>
        </w:tabs>
        <w:ind w:left="-709"/>
        <w:rPr>
          <w:sz w:val="26"/>
          <w:szCs w:val="26"/>
        </w:rPr>
      </w:pPr>
      <w:r w:rsidRPr="00735A15">
        <w:rPr>
          <w:szCs w:val="28"/>
        </w:rPr>
        <w:t xml:space="preserve">      </w:t>
      </w:r>
      <w:r w:rsidRPr="00C10E2C">
        <w:rPr>
          <w:sz w:val="26"/>
          <w:szCs w:val="26"/>
        </w:rPr>
        <w:t>______________________________________________________________________</w:t>
      </w:r>
    </w:p>
    <w:p w:rsidR="004617DD" w:rsidRDefault="004617DD" w:rsidP="004617DD">
      <w:pPr>
        <w:shd w:val="clear" w:color="auto" w:fill="BFBFBF"/>
        <w:tabs>
          <w:tab w:val="left" w:pos="2899"/>
        </w:tabs>
        <w:ind w:left="-709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  <w:szCs w:val="18"/>
        </w:rPr>
        <w:t>Адрес редакции, издателя: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  <w:szCs w:val="28"/>
        </w:rPr>
        <w:t>Джакияева</w:t>
      </w:r>
      <w:proofErr w:type="spellEnd"/>
      <w:r>
        <w:rPr>
          <w:b/>
          <w:i/>
          <w:color w:val="0D0D0D"/>
          <w:sz w:val="28"/>
          <w:szCs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4617DD" w:rsidRDefault="004617DD" w:rsidP="004617DD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4617DD" w:rsidRDefault="004617DD" w:rsidP="004617DD">
      <w:pPr>
        <w:shd w:val="clear" w:color="auto" w:fill="BFBFBF"/>
        <w:tabs>
          <w:tab w:val="left" w:pos="6471"/>
        </w:tabs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4617DD" w:rsidRDefault="004617DD" w:rsidP="004617DD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4617DD" w:rsidRDefault="004617DD" w:rsidP="004617DD">
      <w:pPr>
        <w:tabs>
          <w:tab w:val="left" w:pos="2899"/>
        </w:tabs>
        <w:ind w:left="-709"/>
        <w:rPr>
          <w:sz w:val="28"/>
        </w:rPr>
      </w:pPr>
      <w:r>
        <w:rPr>
          <w:color w:val="0D0D0D"/>
        </w:rPr>
        <w:t>____________________________________________________________________________________________________</w:t>
      </w:r>
      <w:r w:rsidRPr="00735A15">
        <w:rPr>
          <w:szCs w:val="28"/>
        </w:rPr>
        <w:t xml:space="preserve">      </w:t>
      </w:r>
    </w:p>
    <w:p w:rsidR="004617DD" w:rsidRPr="00E10D9A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tabs>
          <w:tab w:val="left" w:pos="2899"/>
        </w:tabs>
        <w:ind w:left="-709"/>
        <w:rPr>
          <w:sz w:val="28"/>
        </w:rPr>
      </w:pPr>
      <w:bookmarkStart w:id="0" w:name="_GoBack"/>
      <w:bookmarkEnd w:id="0"/>
      <w:r w:rsidRPr="00735A15">
        <w:rPr>
          <w:szCs w:val="28"/>
        </w:rPr>
        <w:t xml:space="preserve"> </w:t>
      </w:r>
    </w:p>
    <w:p w:rsidR="004617DD" w:rsidRPr="00E10D9A" w:rsidRDefault="004617DD" w:rsidP="004617DD">
      <w:pPr>
        <w:widowControl w:val="0"/>
        <w:rPr>
          <w:sz w:val="28"/>
        </w:rPr>
      </w:pPr>
    </w:p>
    <w:p w:rsidR="004617DD" w:rsidRDefault="004617DD" w:rsidP="004617DD">
      <w:pPr>
        <w:widowControl w:val="0"/>
        <w:rPr>
          <w:sz w:val="28"/>
        </w:rPr>
      </w:pPr>
    </w:p>
    <w:p w:rsidR="005B5D4E" w:rsidRDefault="005B5D4E"/>
    <w:sectPr w:rsidR="005B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DD" w:rsidRDefault="004617DD" w:rsidP="004617DD">
      <w:r>
        <w:separator/>
      </w:r>
    </w:p>
  </w:endnote>
  <w:endnote w:type="continuationSeparator" w:id="0">
    <w:p w:rsidR="004617DD" w:rsidRDefault="004617DD" w:rsidP="0046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DD" w:rsidRDefault="004617DD" w:rsidP="004617DD">
      <w:r>
        <w:separator/>
      </w:r>
    </w:p>
  </w:footnote>
  <w:footnote w:type="continuationSeparator" w:id="0">
    <w:p w:rsidR="004617DD" w:rsidRDefault="004617DD" w:rsidP="0046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DD"/>
    <w:rsid w:val="004617DD"/>
    <w:rsid w:val="005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61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617D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617DD"/>
    <w:pPr>
      <w:jc w:val="center"/>
    </w:pPr>
    <w:rPr>
      <w:b/>
      <w:color w:val="000000"/>
      <w:sz w:val="28"/>
    </w:rPr>
  </w:style>
  <w:style w:type="character" w:customStyle="1" w:styleId="a8">
    <w:name w:val="Название Знак"/>
    <w:basedOn w:val="a0"/>
    <w:link w:val="a7"/>
    <w:uiPriority w:val="10"/>
    <w:rsid w:val="004617D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4617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1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617D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61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617DD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4617DD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4617DD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4617DD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4617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4617D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617DD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46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617DD"/>
    <w:rPr>
      <w:b/>
      <w:bCs/>
    </w:rPr>
  </w:style>
  <w:style w:type="character" w:customStyle="1" w:styleId="wmi-callto">
    <w:name w:val="wmi-callto"/>
    <w:basedOn w:val="a0"/>
    <w:rsid w:val="004617DD"/>
  </w:style>
  <w:style w:type="paragraph" w:styleId="af0">
    <w:name w:val="Body Text"/>
    <w:basedOn w:val="a"/>
    <w:link w:val="af1"/>
    <w:uiPriority w:val="99"/>
    <w:unhideWhenUsed/>
    <w:rsid w:val="004617DD"/>
    <w:rPr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6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6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61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617D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617DD"/>
    <w:pPr>
      <w:jc w:val="center"/>
    </w:pPr>
    <w:rPr>
      <w:b/>
      <w:color w:val="000000"/>
      <w:sz w:val="28"/>
    </w:rPr>
  </w:style>
  <w:style w:type="character" w:customStyle="1" w:styleId="a8">
    <w:name w:val="Название Знак"/>
    <w:basedOn w:val="a0"/>
    <w:link w:val="a7"/>
    <w:uiPriority w:val="10"/>
    <w:rsid w:val="004617D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4617D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1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7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617D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61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617DD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4617DD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4617DD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4617DD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4617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4617D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4617DD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617DD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4617DD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461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617DD"/>
    <w:rPr>
      <w:b/>
      <w:bCs/>
    </w:rPr>
  </w:style>
  <w:style w:type="character" w:customStyle="1" w:styleId="wmi-callto">
    <w:name w:val="wmi-callto"/>
    <w:basedOn w:val="a0"/>
    <w:rsid w:val="004617DD"/>
  </w:style>
  <w:style w:type="paragraph" w:styleId="af0">
    <w:name w:val="Body Text"/>
    <w:basedOn w:val="a"/>
    <w:link w:val="af1"/>
    <w:uiPriority w:val="99"/>
    <w:unhideWhenUsed/>
    <w:rsid w:val="004617DD"/>
    <w:rPr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6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6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6632</Words>
  <Characters>37808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2024-06-04T19:10:00Z</dcterms:created>
  <dcterms:modified xsi:type="dcterms:W3CDTF">2024-06-04T19:17:00Z</dcterms:modified>
</cp:coreProperties>
</file>