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rPr>
          <w:sz w:val="31"/>
        </w:rPr>
      </w:pPr>
      <w:r>
        <w:rPr>
          <w:sz w:val="31"/>
        </w:rPr>
        <w:t xml:space="preserve">                                                      </w:t>
      </w:r>
      <w:r>
        <w:rPr>
          <w:sz w:val="23"/>
        </w:rPr>
        <w:drawing>
          <wp:inline>
            <wp:extent cx="578597" cy="59167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8597" cy="59167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1"/>
        </w:rPr>
        <w:t xml:space="preserve">   </w:t>
      </w:r>
    </w:p>
    <w:p w14:paraId="02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СОБРАНИЕ</w:t>
      </w:r>
    </w:p>
    <w:p w14:paraId="03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САРАТОВСКОЙ ОБЛАСТИ</w:t>
      </w:r>
    </w:p>
    <w:p w14:paraId="05000000">
      <w:pPr>
        <w:rPr>
          <w:sz w:val="15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 xml:space="preserve">                                                              </w:t>
      </w:r>
      <w:r>
        <w:rPr>
          <w:sz w:val="15"/>
        </w:rPr>
        <w:t>413440 Саратовская область</w:t>
      </w:r>
      <w:r>
        <w:rPr>
          <w:sz w:val="23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u w:val="single"/>
        </w:rPr>
        <w:t>от 04</w:t>
      </w:r>
      <w:r>
        <w:rPr>
          <w:sz w:val="18"/>
          <w:u w:val="single"/>
        </w:rPr>
        <w:t xml:space="preserve">.09.24г. </w:t>
      </w:r>
      <w:r>
        <w:rPr>
          <w:sz w:val="20"/>
          <w:u w:val="single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47-297 </w:t>
      </w:r>
      <w:r>
        <w:rPr>
          <w:sz w:val="20"/>
        </w:rPr>
        <w:t xml:space="preserve"> </w:t>
      </w:r>
      <w:r>
        <w:rPr>
          <w:sz w:val="15"/>
        </w:rPr>
        <w:t xml:space="preserve">              </w:t>
      </w:r>
      <w:r>
        <w:rPr>
          <w:sz w:val="15"/>
        </w:rPr>
        <w:t xml:space="preserve">                </w:t>
      </w:r>
      <w:r>
        <w:rPr>
          <w:sz w:val="15"/>
        </w:rPr>
        <w:t xml:space="preserve">                                                                                             </w:t>
      </w:r>
      <w:r>
        <w:rPr>
          <w:sz w:val="15"/>
        </w:rPr>
        <w:t xml:space="preserve">                    </w:t>
      </w:r>
      <w:r>
        <w:rPr>
          <w:sz w:val="15"/>
        </w:rPr>
        <w:t xml:space="preserve"> </w:t>
      </w:r>
      <w:r>
        <w:rPr>
          <w:sz w:val="15"/>
        </w:rPr>
        <w:t>р</w:t>
      </w:r>
      <w:r>
        <w:rPr>
          <w:sz w:val="15"/>
        </w:rPr>
        <w:t>\п</w:t>
      </w:r>
      <w:r>
        <w:rPr>
          <w:sz w:val="15"/>
        </w:rPr>
        <w:t xml:space="preserve">  Дергачи, </w:t>
      </w:r>
    </w:p>
    <w:p w14:paraId="06000000">
      <w:pPr>
        <w:rPr>
          <w:sz w:val="15"/>
        </w:rPr>
      </w:pPr>
      <w:r>
        <w:rPr>
          <w:sz w:val="15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15"/>
        </w:rPr>
        <w:t>ул.</w:t>
      </w:r>
      <w:r>
        <w:rPr>
          <w:sz w:val="15"/>
        </w:rPr>
        <w:t>М.Горького,4</w:t>
      </w:r>
    </w:p>
    <w:p w14:paraId="07000000">
      <w:pPr>
        <w:rPr>
          <w:sz w:val="15"/>
        </w:rPr>
      </w:pPr>
      <w:r>
        <w:t xml:space="preserve">                                                                                       </w:t>
      </w:r>
      <w:r>
        <w:t xml:space="preserve">                                </w:t>
      </w:r>
      <w:r>
        <w:rPr>
          <w:sz w:val="15"/>
        </w:rPr>
        <w:t xml:space="preserve">тел: </w:t>
      </w:r>
      <w:r>
        <w:rPr>
          <w:sz w:val="15"/>
        </w:rPr>
        <w:tab/>
      </w:r>
      <w:r>
        <w:rPr>
          <w:sz w:val="15"/>
        </w:rPr>
        <w:t>(845-63) 2-91-33</w:t>
      </w:r>
    </w:p>
    <w:p w14:paraId="08000000">
      <w:pPr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 xml:space="preserve"> факс:</w:t>
      </w:r>
      <w:r>
        <w:rPr>
          <w:sz w:val="15"/>
        </w:rPr>
        <w:tab/>
      </w:r>
      <w:r>
        <w:rPr>
          <w:sz w:val="15"/>
        </w:rPr>
        <w:t>(845-63) 2-91-38</w:t>
      </w:r>
    </w:p>
    <w:p w14:paraId="09000000">
      <w:pPr>
        <w:pStyle w:val="Style_1"/>
        <w:ind w:firstLine="567"/>
        <w:contextualSpacing w:val="1"/>
        <w:rPr>
          <w:sz w:val="28"/>
        </w:rPr>
      </w:pPr>
    </w:p>
    <w:p w14:paraId="0A000000">
      <w:pPr>
        <w:pStyle w:val="Style_1"/>
        <w:ind w:firstLine="567"/>
        <w:contextualSpacing w:val="1"/>
        <w:rPr>
          <w:b w:val="0"/>
          <w:sz w:val="28"/>
        </w:rPr>
      </w:pPr>
      <w:r>
        <w:rPr>
          <w:b w:val="0"/>
          <w:sz w:val="28"/>
        </w:rPr>
        <w:t>Решение № 47-297</w:t>
      </w:r>
    </w:p>
    <w:p w14:paraId="0B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 xml:space="preserve"> О </w:t>
      </w:r>
      <w:r>
        <w:rPr>
          <w:sz w:val="28"/>
        </w:rPr>
        <w:t xml:space="preserve"> готовности  учреждений образований</w:t>
      </w:r>
    </w:p>
    <w:p w14:paraId="0C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Дергачевском</w:t>
      </w:r>
      <w:r>
        <w:rPr>
          <w:sz w:val="28"/>
        </w:rPr>
        <w:t xml:space="preserve"> районе к новому учебному году.</w:t>
      </w:r>
    </w:p>
    <w:p w14:paraId="0D000000">
      <w:pPr>
        <w:pStyle w:val="Style_2"/>
        <w:ind w:firstLine="567"/>
        <w:contextualSpacing w:val="1"/>
        <w:rPr>
          <w:sz w:val="28"/>
        </w:rPr>
      </w:pPr>
      <w:r>
        <w:rPr>
          <w:sz w:val="28"/>
        </w:rPr>
        <w:t xml:space="preserve"> Руководствуясь </w:t>
      </w:r>
      <w:r>
        <w:rPr>
          <w:sz w:val="28"/>
        </w:rPr>
        <w:t>Федеральным законом 131-ФЗ от 6 октября 2006г. «Об общих принципах организации местного самоуправления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>У</w:t>
      </w:r>
      <w:r>
        <w:rPr>
          <w:sz w:val="28"/>
        </w:rPr>
        <w:t>ставом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, заслушав начальника управления</w:t>
      </w:r>
      <w:r>
        <w:rPr>
          <w:sz w:val="28"/>
        </w:rPr>
        <w:t xml:space="preserve"> образования</w:t>
      </w:r>
      <w:r>
        <w:rPr>
          <w:sz w:val="28"/>
        </w:rPr>
        <w:t xml:space="preserve">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</w:t>
      </w:r>
    </w:p>
    <w:p w14:paraId="0E000000">
      <w:pPr>
        <w:pStyle w:val="Style_2"/>
        <w:ind w:firstLine="567"/>
        <w:contextualSpacing w:val="1"/>
        <w:rPr>
          <w:sz w:val="28"/>
        </w:rPr>
      </w:pPr>
    </w:p>
    <w:p w14:paraId="0F000000">
      <w:pPr>
        <w:pStyle w:val="Style_2"/>
        <w:ind w:firstLine="567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0000000">
      <w:pPr>
        <w:pStyle w:val="Style_3"/>
        <w:numPr>
          <w:ilvl w:val="0"/>
          <w:numId w:val="1"/>
        </w:num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>Доклад</w:t>
      </w:r>
      <w:r>
        <w:rPr>
          <w:sz w:val="28"/>
        </w:rPr>
        <w:t xml:space="preserve"> начальника управления образования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Харюковой Н.Б.</w:t>
      </w:r>
      <w:r>
        <w:rPr>
          <w:sz w:val="28"/>
        </w:rPr>
        <w:t>.</w:t>
      </w:r>
      <w:r>
        <w:rPr>
          <w:sz w:val="28"/>
        </w:rPr>
        <w:t xml:space="preserve"> "О  готовности  образовательных учреждений  к новому учебному году в 2024г."</w:t>
      </w:r>
      <w:r>
        <w:rPr>
          <w:sz w:val="28"/>
        </w:rPr>
        <w:t xml:space="preserve"> принять к сведению</w:t>
      </w:r>
      <w:r>
        <w:rPr>
          <w:sz w:val="28"/>
        </w:rPr>
        <w:t>.</w:t>
      </w:r>
      <w:r>
        <w:rPr>
          <w:sz w:val="28"/>
        </w:rPr>
        <w:t xml:space="preserve">          (</w:t>
      </w:r>
      <w:r>
        <w:rPr>
          <w:sz w:val="28"/>
        </w:rPr>
        <w:t>п</w:t>
      </w:r>
      <w:r>
        <w:rPr>
          <w:sz w:val="28"/>
        </w:rPr>
        <w:t>рилагается.)</w:t>
      </w:r>
    </w:p>
    <w:p w14:paraId="11000000">
      <w:pPr>
        <w:pStyle w:val="Style_3"/>
        <w:ind w:firstLine="0" w:left="-709"/>
        <w:jc w:val="both"/>
        <w:rPr>
          <w:sz w:val="28"/>
        </w:rPr>
      </w:pPr>
      <w:r>
        <w:rPr>
          <w:sz w:val="28"/>
        </w:rPr>
        <w:t xml:space="preserve">       2.Опубликовать </w:t>
      </w:r>
      <w:r>
        <w:rPr>
          <w:sz w:val="28"/>
        </w:rPr>
        <w:t xml:space="preserve">( </w:t>
      </w:r>
      <w:r>
        <w:rPr>
          <w:sz w:val="28"/>
        </w:rPr>
        <w:t>обнародовать) н</w:t>
      </w:r>
      <w:r>
        <w:rPr>
          <w:sz w:val="28"/>
        </w:rPr>
        <w:t xml:space="preserve">астоящее решение </w:t>
      </w:r>
      <w:r>
        <w:rPr>
          <w:sz w:val="28"/>
        </w:rPr>
        <w:t xml:space="preserve"> на официальном сайте администрации Дергачевского муниципального района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contextualSpacing w:val="1"/>
        <w:jc w:val="both"/>
        <w:rPr>
          <w:sz w:val="28"/>
        </w:rPr>
      </w:pPr>
    </w:p>
    <w:p w14:paraId="18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19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</w:t>
      </w:r>
      <w:r>
        <w:rPr>
          <w:sz w:val="28"/>
        </w:rPr>
        <w:tab/>
      </w:r>
      <w:r>
        <w:rPr>
          <w:sz w:val="28"/>
        </w:rPr>
        <w:t xml:space="preserve">                          </w:t>
      </w:r>
      <w:r>
        <w:rPr>
          <w:sz w:val="28"/>
        </w:rPr>
        <w:t>Шамьюнов Э.Р.</w:t>
      </w:r>
    </w:p>
    <w:p w14:paraId="1A000000">
      <w:pPr>
        <w:ind/>
        <w:contextualSpacing w:val="1"/>
        <w:jc w:val="both"/>
        <w:rPr>
          <w:sz w:val="28"/>
        </w:rPr>
      </w:pPr>
    </w:p>
    <w:p w14:paraId="1B000000">
      <w:pPr>
        <w:ind/>
        <w:contextualSpacing w:val="1"/>
        <w:rPr>
          <w:sz w:val="28"/>
        </w:rPr>
      </w:pPr>
      <w:r>
        <w:rPr>
          <w:sz w:val="28"/>
        </w:rPr>
        <w:t xml:space="preserve">Глава Дергачевского </w:t>
      </w:r>
    </w:p>
    <w:p w14:paraId="1C000000">
      <w:pPr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</w:t>
      </w:r>
      <w:r>
        <w:rPr>
          <w:sz w:val="28"/>
        </w:rPr>
        <w:t xml:space="preserve"> Мурзаков С.Н.    </w:t>
      </w: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b w:val="1"/>
          <w:sz w:val="28"/>
        </w:rPr>
      </w:pPr>
    </w:p>
    <w:p w14:paraId="20000000">
      <w:pPr>
        <w:rPr>
          <w:b w:val="1"/>
          <w:sz w:val="28"/>
        </w:rPr>
      </w:pPr>
    </w:p>
    <w:p w14:paraId="21000000">
      <w:pPr>
        <w:rPr>
          <w:b w:val="1"/>
          <w:sz w:val="28"/>
        </w:rPr>
      </w:pPr>
    </w:p>
    <w:p w14:paraId="22000000">
      <w:pPr>
        <w:rPr>
          <w:b w:val="1"/>
          <w:sz w:val="28"/>
        </w:rPr>
      </w:pPr>
    </w:p>
    <w:p w14:paraId="23000000">
      <w:pPr>
        <w:rPr>
          <w:b w:val="1"/>
          <w:sz w:val="28"/>
        </w:rPr>
      </w:pPr>
    </w:p>
    <w:p w14:paraId="24000000">
      <w:pPr>
        <w:rPr>
          <w:b w:val="1"/>
          <w:sz w:val="28"/>
        </w:rPr>
      </w:pPr>
    </w:p>
    <w:p w14:paraId="25000000">
      <w:pPr>
        <w:rPr>
          <w:b w:val="1"/>
          <w:sz w:val="28"/>
        </w:rPr>
      </w:pPr>
    </w:p>
    <w:p w14:paraId="26000000">
      <w:pPr>
        <w:rPr>
          <w:b w:val="1"/>
          <w:sz w:val="28"/>
        </w:rPr>
      </w:pPr>
    </w:p>
    <w:p w14:paraId="27000000">
      <w:pPr>
        <w:rPr>
          <w:b w:val="1"/>
          <w:sz w:val="28"/>
        </w:rPr>
      </w:pPr>
    </w:p>
    <w:p w14:paraId="28000000">
      <w:pPr>
        <w:spacing w:line="240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«О подготовке образовательных организаций Дергачевского муниципального района к новому </w:t>
      </w:r>
      <w:r>
        <w:rPr>
          <w:b w:val="1"/>
          <w:i w:val="1"/>
          <w:sz w:val="28"/>
        </w:rPr>
        <w:t xml:space="preserve">2024-2025 </w:t>
      </w:r>
      <w:r>
        <w:rPr>
          <w:b w:val="1"/>
          <w:i w:val="1"/>
          <w:sz w:val="28"/>
        </w:rPr>
        <w:t>учебному году»</w:t>
      </w:r>
    </w:p>
    <w:p w14:paraId="29000000">
      <w:pPr>
        <w:spacing w:after="0" w:line="240" w:lineRule="auto"/>
        <w:ind w:firstLine="708"/>
        <w:jc w:val="both"/>
      </w:pPr>
    </w:p>
    <w:p w14:paraId="2A000000">
      <w:pPr>
        <w:spacing w:after="0" w:line="240" w:lineRule="auto"/>
        <w:ind w:firstLine="708"/>
        <w:jc w:val="both"/>
      </w:pPr>
    </w:p>
    <w:p w14:paraId="2B000000">
      <w:pPr>
        <w:spacing w:after="0" w:line="240" w:lineRule="auto"/>
        <w:ind w:firstLine="708"/>
        <w:jc w:val="both"/>
      </w:pPr>
      <w:r>
        <w:t xml:space="preserve">В настоящее время система образования </w:t>
      </w:r>
      <w:r>
        <w:t>Дергачевского района</w:t>
      </w:r>
      <w:r>
        <w:t xml:space="preserve"> насчитывает </w:t>
      </w:r>
      <w:r>
        <w:t>31</w:t>
      </w:r>
      <w:r>
        <w:t xml:space="preserve"> организаци</w:t>
      </w:r>
      <w:r>
        <w:t>ю</w:t>
      </w:r>
      <w:r>
        <w:t xml:space="preserve">, в том числе:  </w:t>
      </w:r>
      <w:r>
        <w:t>5 общеобразовательных школ, в которых имеется 14 филиалов</w:t>
      </w:r>
      <w:r>
        <w:t>;</w:t>
      </w:r>
      <w:r>
        <w:t xml:space="preserve"> 9</w:t>
      </w:r>
      <w:r>
        <w:t xml:space="preserve"> детских садов</w:t>
      </w:r>
      <w:r>
        <w:t>, в которых 1 филиал и 2</w:t>
      </w:r>
      <w:r>
        <w:t xml:space="preserve"> организации до</w:t>
      </w:r>
      <w:r>
        <w:t>полнительного образования.</w:t>
      </w:r>
    </w:p>
    <w:p w14:paraId="2C000000">
      <w:pPr>
        <w:spacing w:after="0" w:line="240" w:lineRule="auto"/>
        <w:ind w:firstLine="567"/>
        <w:jc w:val="both"/>
      </w:pPr>
      <w:r>
        <w:t>Планируемая численность обучающ</w:t>
      </w:r>
      <w:r>
        <w:t>ихся в школах на 1 сентября 2024</w:t>
      </w:r>
      <w:r>
        <w:t xml:space="preserve"> года </w:t>
      </w:r>
      <w:r>
        <w:t>составит 1501</w:t>
      </w:r>
      <w:r>
        <w:t xml:space="preserve"> чел</w:t>
      </w:r>
      <w:r>
        <w:t xml:space="preserve">овек, что на </w:t>
      </w:r>
      <w:r>
        <w:t>76 чел.</w:t>
      </w:r>
      <w:r>
        <w:t xml:space="preserve"> ниже по сравнению с прошлым годом, </w:t>
      </w:r>
      <w:r>
        <w:t xml:space="preserve">в том числе </w:t>
      </w:r>
      <w:r>
        <w:t>около 80</w:t>
      </w:r>
      <w:r>
        <w:t xml:space="preserve"> детей с ограниченными возможностями здоровья</w:t>
      </w:r>
      <w:r>
        <w:t xml:space="preserve">, </w:t>
      </w:r>
      <w:r>
        <w:t>123</w:t>
      </w:r>
      <w:r>
        <w:t xml:space="preserve"> первоклассник</w:t>
      </w:r>
      <w:r>
        <w:t>а</w:t>
      </w:r>
      <w:r>
        <w:t xml:space="preserve"> (прошлый  год 137 чел.), </w:t>
      </w:r>
      <w:r>
        <w:t>не будет первых классов в школах с</w:t>
      </w:r>
      <w:r>
        <w:t>.Ж</w:t>
      </w:r>
      <w:r>
        <w:t>адовка, с.Верхазовка, п.Октябрьский</w:t>
      </w:r>
      <w:r>
        <w:t xml:space="preserve">; </w:t>
      </w:r>
      <w:r>
        <w:t>173 (188) девятиклассника, в 10 классы зачислено 42 человека</w:t>
      </w:r>
      <w:r>
        <w:t>.</w:t>
      </w:r>
      <w:r>
        <w:t xml:space="preserve"> Снижение по количеству детей имеется и</w:t>
      </w:r>
      <w:r>
        <w:t xml:space="preserve"> в</w:t>
      </w:r>
      <w:r>
        <w:t xml:space="preserve"> </w:t>
      </w:r>
      <w:r>
        <w:t xml:space="preserve">дошкольных образовательных </w:t>
      </w:r>
      <w:r>
        <w:t>организациях -4</w:t>
      </w:r>
      <w:r>
        <w:t>54</w:t>
      </w:r>
      <w:r>
        <w:t xml:space="preserve"> чел.</w:t>
      </w:r>
      <w:r>
        <w:t>, что на 5</w:t>
      </w:r>
      <w:r>
        <w:t>2</w:t>
      </w:r>
      <w:r>
        <w:t xml:space="preserve"> чел.  </w:t>
      </w:r>
      <w:r>
        <w:t xml:space="preserve">меньше </w:t>
      </w:r>
      <w:r>
        <w:t>чем в прошлом году</w:t>
      </w:r>
      <w:r>
        <w:t>.</w:t>
      </w:r>
    </w:p>
    <w:p w14:paraId="2D000000">
      <w:pPr>
        <w:spacing w:after="0" w:line="240" w:lineRule="auto"/>
        <w:ind w:firstLine="708"/>
        <w:jc w:val="both"/>
      </w:pPr>
      <w:r>
        <w:t>В организации дополнительного образования планируется зачислить 768 человек (ДДТ - 460, СШ - 380).</w:t>
      </w:r>
    </w:p>
    <w:p w14:paraId="2E000000">
      <w:pPr>
        <w:spacing w:after="0" w:line="240" w:lineRule="auto"/>
        <w:ind w:firstLine="708"/>
        <w:jc w:val="both"/>
      </w:pPr>
      <w:r>
        <w:t>Продолжается работа по укомплектованию образовательных организаций педагогическими кадрами. Общее количество педагогических работников составит около 2</w:t>
      </w:r>
      <w:r>
        <w:t>73</w:t>
      </w:r>
      <w:r>
        <w:t xml:space="preserve"> человек (1</w:t>
      </w:r>
      <w:r>
        <w:t>72</w:t>
      </w:r>
      <w:r>
        <w:t xml:space="preserve"> школы,</w:t>
      </w:r>
      <w:r>
        <w:t xml:space="preserve"> </w:t>
      </w:r>
      <w:r>
        <w:t xml:space="preserve">59 ДОУ, 24 </w:t>
      </w:r>
      <w:r>
        <w:t>ДОП</w:t>
      </w:r>
      <w:r>
        <w:t>).</w:t>
      </w:r>
    </w:p>
    <w:p w14:paraId="2F000000">
      <w:pPr>
        <w:spacing w:after="0" w:line="240" w:lineRule="auto"/>
        <w:ind/>
        <w:jc w:val="both"/>
        <w:rPr>
          <w:sz w:val="24"/>
        </w:rPr>
      </w:pPr>
      <w:r>
        <w:tab/>
      </w:r>
      <w:r>
        <w:t>Группы продленного дня будут работать в школах №1, Петропавловка,  №2, п</w:t>
      </w:r>
      <w:r>
        <w:t>.О</w:t>
      </w:r>
      <w:r>
        <w:t>рошаемый, п.Советский, с.Демьяс. Всего планируется зачислить в ГПД 106 человек.</w:t>
      </w:r>
    </w:p>
    <w:p w14:paraId="30000000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Третий год наш район участвует  в реализации регионального проекта «Развитие инфраструктуры образовательных организаций Саратовской области» направленного на проведение  текущего и капитального ремонта. </w:t>
      </w:r>
    </w:p>
    <w:p w14:paraId="31000000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Для реализации данного проекта было выделено </w:t>
      </w:r>
      <w:r>
        <w:rPr>
          <w:sz w:val="28"/>
        </w:rPr>
        <w:t>22 022,5 тыс. рублей, из них региональный бюджет –21 384,4 тыс. рублей, муниципальный бюджет- 638,2 тыс. рублей для восьми учреждений образования</w:t>
      </w:r>
      <w:r>
        <w:rPr>
          <w:sz w:val="28"/>
        </w:rPr>
        <w:t>.</w:t>
      </w:r>
    </w:p>
    <w:p w14:paraId="32000000">
      <w:pPr>
        <w:spacing w:after="0" w:line="24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В 2024 году начал работать в области новый региональный</w:t>
      </w:r>
      <w:r>
        <w:rPr>
          <w:color w:val="000000"/>
          <w:sz w:val="28"/>
          <w:highlight w:val="white"/>
        </w:rPr>
        <w:t xml:space="preserve"> пр</w:t>
      </w:r>
      <w:r>
        <w:rPr>
          <w:color w:val="000000"/>
          <w:sz w:val="28"/>
          <w:highlight w:val="white"/>
        </w:rPr>
        <w:t>оект,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направленный на </w:t>
      </w:r>
      <w:r>
        <w:rPr>
          <w:color w:val="000000"/>
          <w:sz w:val="28"/>
          <w:highlight w:val="white"/>
        </w:rPr>
        <w:t>модернизаци</w:t>
      </w:r>
      <w:r>
        <w:rPr>
          <w:color w:val="000000"/>
          <w:sz w:val="28"/>
          <w:highlight w:val="white"/>
        </w:rPr>
        <w:t xml:space="preserve">ю школьных музеев. От района </w:t>
      </w:r>
      <w:r>
        <w:rPr>
          <w:color w:val="000000"/>
          <w:sz w:val="28"/>
          <w:highlight w:val="white"/>
        </w:rPr>
        <w:t>вошли МОУ "СОШ 1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>ергачи" и МОУ "СОШ 2 р.п.Дергачи". Было выделено из регионально</w:t>
      </w:r>
      <w:r>
        <w:rPr>
          <w:color w:val="000000"/>
          <w:sz w:val="28"/>
          <w:highlight w:val="white"/>
        </w:rPr>
        <w:t>го</w:t>
      </w:r>
      <w:r>
        <w:rPr>
          <w:color w:val="000000"/>
          <w:sz w:val="28"/>
          <w:highlight w:val="white"/>
        </w:rPr>
        <w:t xml:space="preserve"> бюджета 750,0 тыс. руб. В музеи было закуплено экспозиционное оборудование (МОУ «СОШ №1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>ергачи- 300,0 тыс. руб., МОУ «СОШ №2 р.п.Дергачи» - 250,0 тыс. руб.). За счёт выделенных региональных средств в МОУ "СОШ 1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>ергачи" проведен ремонт полового покрытия и замена входных дверей (200,0 тыс. руб.).</w:t>
      </w:r>
    </w:p>
    <w:p w14:paraId="33000000">
      <w:pPr>
        <w:spacing w:after="0" w:line="24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Не остались в стороне учреждения дополнительного образования, которым тоже было уделено внимание Правительством области.  МУ Д</w:t>
      </w:r>
      <w:r>
        <w:rPr>
          <w:color w:val="000000"/>
          <w:sz w:val="28"/>
          <w:highlight w:val="white"/>
        </w:rPr>
        <w:t>О ДДТ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>ергачи вошло в данный</w:t>
      </w:r>
      <w:r>
        <w:rPr>
          <w:color w:val="000000"/>
          <w:sz w:val="28"/>
          <w:highlight w:val="white"/>
        </w:rPr>
        <w:t xml:space="preserve"> пр</w:t>
      </w:r>
      <w:r>
        <w:rPr>
          <w:color w:val="000000"/>
          <w:sz w:val="28"/>
          <w:highlight w:val="white"/>
        </w:rPr>
        <w:t>оект</w:t>
      </w:r>
      <w:r>
        <w:rPr>
          <w:color w:val="000000"/>
          <w:sz w:val="28"/>
          <w:highlight w:val="white"/>
        </w:rPr>
        <w:t xml:space="preserve">, как учреждение нуждающееся в ремонте кровли. Было выделено 1443,3 тыс. руб. На сегодняшний день завершены работы по утеплению и покрытию </w:t>
      </w:r>
      <w:r>
        <w:rPr>
          <w:color w:val="000000"/>
          <w:sz w:val="28"/>
          <w:highlight w:val="white"/>
        </w:rPr>
        <w:t>профлистом</w:t>
      </w:r>
      <w:r>
        <w:rPr>
          <w:color w:val="000000"/>
          <w:sz w:val="28"/>
          <w:highlight w:val="white"/>
        </w:rPr>
        <w:t xml:space="preserve"> кровли (902,8 тыс. руб.). На сложившуюся экономию (446,8 тыс. руб.) проведены работы по </w:t>
      </w:r>
      <w:r>
        <w:rPr>
          <w:color w:val="000000"/>
          <w:sz w:val="28"/>
          <w:highlight w:val="white"/>
        </w:rPr>
        <w:t>установке оконных блоков, утеплению стены, обустройству санитарной комнаты</w:t>
      </w:r>
      <w:r>
        <w:rPr>
          <w:color w:val="000000"/>
          <w:sz w:val="28"/>
          <w:highlight w:val="white"/>
        </w:rPr>
        <w:t>. Проведены</w:t>
      </w:r>
      <w:r>
        <w:rPr>
          <w:color w:val="000000"/>
          <w:sz w:val="28"/>
          <w:highlight w:val="white"/>
        </w:rPr>
        <w:t xml:space="preserve"> работы по ремонту </w:t>
      </w:r>
      <w:r>
        <w:rPr>
          <w:color w:val="000000"/>
          <w:sz w:val="28"/>
          <w:highlight w:val="white"/>
        </w:rPr>
        <w:t>отмостки</w:t>
      </w:r>
      <w:r>
        <w:rPr>
          <w:color w:val="000000"/>
          <w:sz w:val="28"/>
          <w:highlight w:val="white"/>
        </w:rPr>
        <w:t xml:space="preserve"> на сумму 93,5 тыс. руб.</w:t>
      </w:r>
    </w:p>
    <w:p w14:paraId="34000000">
      <w:pPr>
        <w:spacing w:after="0" w:line="240" w:lineRule="auto"/>
        <w:ind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          Двум школам района были выделены денежные средства в сумме 8 млн. рублей из регионального бюджета, 247,4 тыс. руб. из муниципального бюджета </w:t>
      </w:r>
      <w:r>
        <w:rPr>
          <w:color w:val="000000"/>
          <w:sz w:val="28"/>
          <w:highlight w:val="white"/>
        </w:rPr>
        <w:t xml:space="preserve">на проведение следующих работ: </w:t>
      </w:r>
      <w:r>
        <w:rPr>
          <w:color w:val="000000"/>
          <w:sz w:val="28"/>
          <w:highlight w:val="white"/>
        </w:rPr>
        <w:t xml:space="preserve"> МОУ «СОШ №1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>ергачи»  капитальный ремонт мягкой кровли (7216,5 тыс. руб.). Работы по ремонту кровли завершены в срок. В МОУ СОШ 2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 xml:space="preserve">ергачи проведен ремонт санитарных комнат, который позволил провести замену настенной и половой  плитки, установку новой сантехники, устройство подвесных потолков, замену межкомнатных дверей, перегородок и оконных блоков, укладку линолеума в коридоре при входе в санитарные комнаты (1030,9 тыс. руб.). </w:t>
      </w:r>
    </w:p>
    <w:p w14:paraId="35000000">
      <w:pPr>
        <w:spacing w:after="0" w:line="24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роведена большая работа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в</w:t>
      </w:r>
      <w:r>
        <w:rPr>
          <w:color w:val="000000"/>
          <w:sz w:val="28"/>
          <w:highlight w:val="white"/>
        </w:rPr>
        <w:t xml:space="preserve"> детских садах</w:t>
      </w:r>
      <w:r>
        <w:rPr>
          <w:color w:val="000000"/>
          <w:sz w:val="28"/>
          <w:highlight w:val="white"/>
        </w:rPr>
        <w:t xml:space="preserve"> района</w:t>
      </w:r>
      <w:r>
        <w:rPr>
          <w:color w:val="000000"/>
          <w:sz w:val="28"/>
          <w:highlight w:val="white"/>
        </w:rPr>
        <w:t xml:space="preserve">. </w:t>
      </w:r>
      <w:r>
        <w:rPr>
          <w:color w:val="000000"/>
          <w:sz w:val="28"/>
          <w:highlight w:val="white"/>
        </w:rPr>
        <w:t>В</w:t>
      </w:r>
      <w:r>
        <w:rPr>
          <w:color w:val="000000"/>
          <w:sz w:val="28"/>
          <w:highlight w:val="white"/>
        </w:rPr>
        <w:t xml:space="preserve"> детском саду «</w:t>
      </w:r>
      <w:r>
        <w:rPr>
          <w:color w:val="000000"/>
          <w:sz w:val="28"/>
          <w:highlight w:val="white"/>
        </w:rPr>
        <w:t>Аленушка</w:t>
      </w:r>
      <w:r>
        <w:rPr>
          <w:color w:val="000000"/>
          <w:sz w:val="28"/>
          <w:highlight w:val="white"/>
        </w:rPr>
        <w:t>»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 xml:space="preserve">ергачи на сумму 1904,0 тыс. руб. </w:t>
      </w:r>
      <w:r>
        <w:rPr>
          <w:color w:val="000000"/>
          <w:sz w:val="28"/>
          <w:highlight w:val="white"/>
        </w:rPr>
        <w:t xml:space="preserve">проведена </w:t>
      </w:r>
      <w:r>
        <w:rPr>
          <w:color w:val="000000"/>
          <w:sz w:val="28"/>
          <w:highlight w:val="white"/>
        </w:rPr>
        <w:t>обшивк</w:t>
      </w:r>
      <w:r>
        <w:rPr>
          <w:color w:val="000000"/>
          <w:sz w:val="28"/>
          <w:highlight w:val="white"/>
        </w:rPr>
        <w:t>а</w:t>
      </w:r>
      <w:r>
        <w:rPr>
          <w:color w:val="000000"/>
          <w:sz w:val="28"/>
          <w:highlight w:val="white"/>
        </w:rPr>
        <w:t xml:space="preserve"> фасада здания,  постройк</w:t>
      </w:r>
      <w:r>
        <w:rPr>
          <w:color w:val="000000"/>
          <w:sz w:val="28"/>
          <w:highlight w:val="white"/>
        </w:rPr>
        <w:t>а</w:t>
      </w:r>
      <w:r>
        <w:rPr>
          <w:color w:val="000000"/>
          <w:sz w:val="28"/>
          <w:highlight w:val="white"/>
        </w:rPr>
        <w:t xml:space="preserve"> входной веранды в младшую группу, установк</w:t>
      </w:r>
      <w:r>
        <w:rPr>
          <w:color w:val="000000"/>
          <w:sz w:val="28"/>
          <w:highlight w:val="white"/>
        </w:rPr>
        <w:t>а</w:t>
      </w:r>
      <w:r>
        <w:rPr>
          <w:color w:val="000000"/>
          <w:sz w:val="28"/>
          <w:highlight w:val="white"/>
        </w:rPr>
        <w:t xml:space="preserve"> входной двери, замене полового покрытия в двух группах</w:t>
      </w:r>
      <w:r>
        <w:rPr>
          <w:color w:val="000000"/>
          <w:sz w:val="28"/>
          <w:highlight w:val="white"/>
        </w:rPr>
        <w:t xml:space="preserve"> и приемных</w:t>
      </w:r>
      <w:r>
        <w:rPr>
          <w:color w:val="000000"/>
          <w:sz w:val="28"/>
          <w:highlight w:val="white"/>
        </w:rPr>
        <w:t xml:space="preserve">. </w:t>
      </w:r>
    </w:p>
    <w:p w14:paraId="36000000">
      <w:pPr>
        <w:spacing w:after="0" w:line="24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В  филиале МОУ "СОШ с. Демьяс" в с. </w:t>
      </w:r>
      <w:r>
        <w:rPr>
          <w:color w:val="000000"/>
          <w:sz w:val="28"/>
          <w:highlight w:val="white"/>
        </w:rPr>
        <w:t>Новоросляевка</w:t>
      </w:r>
      <w:r>
        <w:rPr>
          <w:color w:val="000000"/>
          <w:sz w:val="28"/>
          <w:highlight w:val="white"/>
        </w:rPr>
        <w:t xml:space="preserve"> завершены работы в помещениях школы для размещения в них дошкольной группы. Выделенные средства в сумме 1903,9 тыс. руб. позволили улучшить условия для пребывания детей дошкольного возраста, в переоборудованных помещениях отвечающих современным требованиям. Для ребят обустроен отдельный вход в здание</w:t>
      </w:r>
      <w:r>
        <w:rPr>
          <w:color w:val="000000"/>
          <w:sz w:val="28"/>
          <w:highlight w:val="white"/>
        </w:rPr>
        <w:t xml:space="preserve"> и детская площадка</w:t>
      </w:r>
      <w:r>
        <w:rPr>
          <w:color w:val="000000"/>
          <w:sz w:val="28"/>
          <w:highlight w:val="white"/>
        </w:rPr>
        <w:t xml:space="preserve">. </w:t>
      </w:r>
    </w:p>
    <w:p w14:paraId="37000000">
      <w:pPr>
        <w:spacing w:after="0" w:line="24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В МДОУ детский сад «Тополек»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 xml:space="preserve">ергачи завершен капитальный ремонт мягкой кровли, установлены входные двери, оконный блок, проведены санитарно-технические работы. Установлен  в актовом зале  </w:t>
      </w:r>
      <w:r>
        <w:rPr>
          <w:color w:val="000000"/>
          <w:sz w:val="28"/>
          <w:highlight w:val="white"/>
        </w:rPr>
        <w:t xml:space="preserve">навесной </w:t>
      </w:r>
      <w:r>
        <w:rPr>
          <w:color w:val="000000"/>
          <w:sz w:val="28"/>
          <w:highlight w:val="white"/>
        </w:rPr>
        <w:t>потолок, в рекреации детского сада отремонтировано потолочное перекрытие. Сумма затрат составила 1903,9 тыс. руб.</w:t>
      </w:r>
    </w:p>
    <w:p w14:paraId="38000000">
      <w:pPr>
        <w:spacing w:after="0" w:line="24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В МДОУ детски</w:t>
      </w:r>
      <w:r>
        <w:rPr>
          <w:color w:val="000000"/>
          <w:sz w:val="28"/>
          <w:highlight w:val="white"/>
        </w:rPr>
        <w:t>й сад "</w:t>
      </w:r>
      <w:r>
        <w:rPr>
          <w:color w:val="000000"/>
          <w:sz w:val="28"/>
          <w:highlight w:val="white"/>
        </w:rPr>
        <w:t>Чебурашка</w:t>
      </w:r>
      <w:r>
        <w:rPr>
          <w:color w:val="000000"/>
          <w:sz w:val="28"/>
          <w:highlight w:val="white"/>
        </w:rPr>
        <w:t>" п. Советский проведены</w:t>
      </w:r>
      <w:r>
        <w:rPr>
          <w:color w:val="000000"/>
          <w:sz w:val="28"/>
          <w:highlight w:val="white"/>
        </w:rPr>
        <w:t xml:space="preserve"> работы по замене во всем здании системы отопления на новые современные радиаторы, проведены электромонтажные работы</w:t>
      </w:r>
      <w:r>
        <w:rPr>
          <w:color w:val="000000"/>
          <w:sz w:val="28"/>
          <w:highlight w:val="white"/>
        </w:rPr>
        <w:t>,</w:t>
      </w:r>
      <w:r>
        <w:rPr>
          <w:color w:val="000000"/>
          <w:sz w:val="28"/>
          <w:highlight w:val="white"/>
        </w:rPr>
        <w:t xml:space="preserve"> ремонт цоколя и обновлен фасад здания. Сумма затрат составила 1540,0 тыс. руб.</w:t>
      </w:r>
    </w:p>
    <w:p w14:paraId="39000000">
      <w:pPr>
        <w:spacing w:after="0" w:line="240" w:lineRule="auto"/>
        <w:ind w:firstLine="567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В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филиале </w:t>
      </w:r>
      <w:r>
        <w:rPr>
          <w:color w:val="000000"/>
          <w:sz w:val="28"/>
          <w:highlight w:val="white"/>
        </w:rPr>
        <w:t>детско</w:t>
      </w:r>
      <w:r>
        <w:rPr>
          <w:color w:val="000000"/>
          <w:sz w:val="28"/>
          <w:highlight w:val="white"/>
        </w:rPr>
        <w:t>го</w:t>
      </w:r>
      <w:r>
        <w:rPr>
          <w:color w:val="000000"/>
          <w:sz w:val="28"/>
          <w:highlight w:val="white"/>
        </w:rPr>
        <w:t xml:space="preserve"> сад</w:t>
      </w:r>
      <w:r>
        <w:rPr>
          <w:color w:val="000000"/>
          <w:sz w:val="28"/>
          <w:highlight w:val="white"/>
        </w:rPr>
        <w:t>а «Сказка» р.п</w:t>
      </w:r>
      <w:r>
        <w:rPr>
          <w:color w:val="000000"/>
          <w:sz w:val="28"/>
          <w:highlight w:val="white"/>
        </w:rPr>
        <w:t>.Д</w:t>
      </w:r>
      <w:r>
        <w:rPr>
          <w:color w:val="000000"/>
          <w:sz w:val="28"/>
          <w:highlight w:val="white"/>
        </w:rPr>
        <w:t xml:space="preserve">ергачи в </w:t>
      </w:r>
      <w:r>
        <w:rPr>
          <w:color w:val="000000"/>
          <w:sz w:val="28"/>
          <w:highlight w:val="white"/>
        </w:rPr>
        <w:t>с.Антоновка</w:t>
      </w:r>
      <w:r>
        <w:rPr>
          <w:color w:val="000000"/>
          <w:sz w:val="28"/>
          <w:highlight w:val="white"/>
        </w:rPr>
        <w:t xml:space="preserve"> проведена установка </w:t>
      </w:r>
      <w:r>
        <w:rPr>
          <w:color w:val="000000"/>
          <w:sz w:val="28"/>
          <w:highlight w:val="white"/>
        </w:rPr>
        <w:t>входной веранды</w:t>
      </w:r>
      <w:r>
        <w:rPr>
          <w:color w:val="000000"/>
          <w:sz w:val="28"/>
          <w:highlight w:val="white"/>
        </w:rPr>
        <w:t>, оконных блоков, входных дверей. Отремонтирована кровля здания.</w:t>
      </w:r>
      <w:r>
        <w:rPr>
          <w:color w:val="000000"/>
          <w:sz w:val="28"/>
          <w:highlight w:val="white"/>
        </w:rPr>
        <w:t xml:space="preserve"> Выделено денежных сре</w:t>
      </w:r>
      <w:r>
        <w:rPr>
          <w:color w:val="000000"/>
          <w:sz w:val="28"/>
          <w:highlight w:val="white"/>
        </w:rPr>
        <w:t xml:space="preserve">дств </w:t>
      </w:r>
      <w:r>
        <w:rPr>
          <w:color w:val="000000"/>
          <w:sz w:val="28"/>
          <w:highlight w:val="white"/>
        </w:rPr>
        <w:t>в с</w:t>
      </w:r>
      <w:r>
        <w:rPr>
          <w:color w:val="000000"/>
          <w:sz w:val="28"/>
          <w:highlight w:val="white"/>
        </w:rPr>
        <w:t>умме</w:t>
      </w:r>
      <w:r>
        <w:rPr>
          <w:color w:val="000000"/>
          <w:sz w:val="28"/>
          <w:highlight w:val="white"/>
        </w:rPr>
        <w:t xml:space="preserve"> 2268,0 тыс. руб.  </w:t>
      </w:r>
    </w:p>
    <w:p w14:paraId="3A000000">
      <w:pPr>
        <w:spacing w:after="0" w:before="0" w:line="240" w:lineRule="auto"/>
        <w:ind w:firstLine="708"/>
        <w:jc w:val="both"/>
        <w:rPr>
          <w:color w:val="2C2D2E"/>
          <w:sz w:val="28"/>
        </w:rPr>
      </w:pPr>
      <w:r>
        <w:rPr>
          <w:color w:val="2C2D2E"/>
          <w:sz w:val="28"/>
        </w:rPr>
        <w:t>Не остались в стороне спортивные залы в школах. В спортивном зале филиала МОУ «СОШ с</w:t>
      </w:r>
      <w:r>
        <w:rPr>
          <w:color w:val="2C2D2E"/>
          <w:sz w:val="28"/>
        </w:rPr>
        <w:t>.</w:t>
      </w:r>
      <w:r>
        <w:rPr>
          <w:color w:val="2C2D2E"/>
          <w:sz w:val="28"/>
        </w:rPr>
        <w:t>Д</w:t>
      </w:r>
      <w:r>
        <w:rPr>
          <w:color w:val="2C2D2E"/>
          <w:sz w:val="28"/>
        </w:rPr>
        <w:t xml:space="preserve">емьяс» в с. </w:t>
      </w:r>
      <w:r>
        <w:rPr>
          <w:color w:val="2C2D2E"/>
          <w:sz w:val="28"/>
        </w:rPr>
        <w:t>Новоросляевка</w:t>
      </w:r>
      <w:r>
        <w:rPr>
          <w:color w:val="2C2D2E"/>
          <w:sz w:val="28"/>
        </w:rPr>
        <w:t xml:space="preserve"> проведена замена полового покрытия, оконных и дверных проёмов, покраска стен и потолка. </w:t>
      </w:r>
      <w:r>
        <w:rPr>
          <w:color w:val="2C2D2E"/>
          <w:sz w:val="28"/>
        </w:rPr>
        <w:t>В</w:t>
      </w:r>
      <w:r>
        <w:rPr>
          <w:color w:val="2C2D2E"/>
          <w:sz w:val="28"/>
        </w:rPr>
        <w:t xml:space="preserve"> МОУ «СОШ 2 р.п. Дергачи»</w:t>
      </w:r>
      <w:r>
        <w:rPr>
          <w:color w:val="2C2D2E"/>
          <w:sz w:val="28"/>
        </w:rPr>
        <w:t xml:space="preserve"> осуществлены малярные работы, установлены защитные решетки на окна и отопительную систему</w:t>
      </w:r>
      <w:r>
        <w:rPr>
          <w:color w:val="2C2D2E"/>
          <w:sz w:val="28"/>
        </w:rPr>
        <w:t>.</w:t>
      </w:r>
      <w:r>
        <w:rPr>
          <w:color w:val="2C2D2E"/>
          <w:sz w:val="28"/>
        </w:rPr>
        <w:t xml:space="preserve"> Проведена внутренняя отделка окон, заменены полы в тренерской комнате. На каждое учреждение выделено 1030,9 тыс. руб.</w:t>
      </w:r>
    </w:p>
    <w:p w14:paraId="3B000000">
      <w:pPr>
        <w:spacing w:after="0" w:line="240" w:lineRule="auto"/>
        <w:ind w:firstLine="567"/>
        <w:jc w:val="both"/>
      </w:pPr>
      <w:r>
        <w:t xml:space="preserve">В 2024 году на подготовку образовательных организаций к новому учебному году </w:t>
      </w:r>
      <w:r>
        <w:t xml:space="preserve">израсходовано </w:t>
      </w:r>
      <w:r>
        <w:t>6060,3</w:t>
      </w:r>
      <w:r>
        <w:t xml:space="preserve"> тыс.</w:t>
      </w:r>
      <w:r>
        <w:t xml:space="preserve"> рублей</w:t>
      </w:r>
      <w:r>
        <w:t xml:space="preserve"> из различных источников: на укрепление материально-технической базы организаций, включая </w:t>
      </w:r>
      <w:r>
        <w:t xml:space="preserve">текущие </w:t>
      </w:r>
      <w:r>
        <w:t>ремонтные работы</w:t>
      </w:r>
      <w:r>
        <w:t xml:space="preserve"> </w:t>
      </w:r>
      <w:r>
        <w:t>(2221,4 тыс. руб.</w:t>
      </w:r>
      <w:r>
        <w:t>)</w:t>
      </w:r>
      <w:r>
        <w:t>, обеспечение пожарной безопасности</w:t>
      </w:r>
      <w:r>
        <w:t xml:space="preserve"> </w:t>
      </w:r>
      <w:r>
        <w:t>(13,9 тыс. руб.)</w:t>
      </w:r>
      <w:r>
        <w:t>, антитеррористические мероприятия</w:t>
      </w:r>
      <w:r>
        <w:t xml:space="preserve"> (3684,0 тыс. руб.)</w:t>
      </w:r>
      <w:r>
        <w:t>, обеспечение санитарно-эпидемиологического состояния объектов</w:t>
      </w:r>
      <w:r>
        <w:t xml:space="preserve"> (141,0 тыс. руб.)</w:t>
      </w:r>
      <w:r>
        <w:t>, а также оснащение учебным оборудованием.</w:t>
      </w:r>
      <w:r>
        <w:t xml:space="preserve"> </w:t>
      </w:r>
      <w:r>
        <w:t xml:space="preserve"> </w:t>
      </w:r>
      <w:r>
        <w:t>Так</w:t>
      </w:r>
      <w:r>
        <w:t xml:space="preserve"> в рамках реализации федерального </w:t>
      </w:r>
      <w:r>
        <w:t>проект</w:t>
      </w:r>
      <w:r>
        <w:t>а</w:t>
      </w:r>
      <w:r>
        <w:t xml:space="preserve"> «Цифровая образовательная среда» для МОУ «СОШ №2 р.п</w:t>
      </w:r>
      <w:r>
        <w:t>.Д</w:t>
      </w:r>
      <w:r>
        <w:t xml:space="preserve">ергачи» было закуплено современное цифровое оборудование для внедрения цифровой образовательной среды. Это 32 ноутбука, 2 </w:t>
      </w:r>
      <w:r>
        <w:t>многофункциональных</w:t>
      </w:r>
      <w:r>
        <w:t xml:space="preserve"> устройства, 4 интерактивных панели, 3 камеры видеонаблюдения.</w:t>
      </w:r>
      <w:r>
        <w:t xml:space="preserve"> Общая сумма затрат составила </w:t>
      </w:r>
      <w:r>
        <w:rPr>
          <w:rFonts w:ascii="PT Astra Serif" w:hAnsi="PT Astra Serif"/>
        </w:rPr>
        <w:t>3478,6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тыс. руб.</w:t>
      </w:r>
      <w:r>
        <w:t xml:space="preserve"> </w:t>
      </w:r>
    </w:p>
    <w:p w14:paraId="3C000000">
      <w:pPr>
        <w:spacing w:after="0" w:line="240" w:lineRule="auto"/>
        <w:ind w:firstLine="567"/>
        <w:jc w:val="both"/>
      </w:pPr>
      <w:r>
        <w:t xml:space="preserve">В настоящее время особое внимание уделяется безопасности. В соответствии с федеральными требованиями во всех образовательных организациях Дергачевского района утверждены паспорта безопасности объектов образования. </w:t>
      </w:r>
      <w:r>
        <w:t>МОУ «СОШ №1 р.п</w:t>
      </w:r>
      <w:r>
        <w:t>.Д</w:t>
      </w:r>
      <w:r>
        <w:t>ергачи», которая относится к третьей категории оборудована в этом году</w:t>
      </w:r>
      <w:r>
        <w:t xml:space="preserve"> контрольно-пропускным</w:t>
      </w:r>
      <w:r>
        <w:t xml:space="preserve"> пункто</w:t>
      </w:r>
      <w:r>
        <w:t>м</w:t>
      </w:r>
      <w:r>
        <w:t xml:space="preserve"> при входе</w:t>
      </w:r>
      <w:r>
        <w:t xml:space="preserve"> (292,7 тыс. руб.)</w:t>
      </w:r>
      <w:r>
        <w:t xml:space="preserve">, </w:t>
      </w:r>
      <w:r>
        <w:t>охрану</w:t>
      </w:r>
      <w:r>
        <w:t xml:space="preserve"> осуществляют сотрудники частной охранной</w:t>
      </w:r>
      <w:r>
        <w:t xml:space="preserve"> организаци</w:t>
      </w:r>
      <w:r>
        <w:t>и</w:t>
      </w:r>
      <w:r>
        <w:t xml:space="preserve">. </w:t>
      </w:r>
      <w:r>
        <w:t xml:space="preserve"> </w:t>
      </w:r>
    </w:p>
    <w:p w14:paraId="3D000000">
      <w:pPr>
        <w:spacing w:after="0" w:line="240" w:lineRule="auto"/>
        <w:ind w:firstLine="567"/>
        <w:jc w:val="both"/>
      </w:pPr>
      <w:r>
        <w:t>Образовательные организации</w:t>
      </w:r>
      <w:r>
        <w:t xml:space="preserve"> оборудованы системами видеонаблюдения. </w:t>
      </w:r>
      <w:r>
        <w:t>С</w:t>
      </w:r>
      <w:r>
        <w:t>истемами передачи тревожных сообщений в подразделения войск национальной гвардии</w:t>
      </w:r>
      <w:r>
        <w:t xml:space="preserve"> оборудовано в этом году 11 учреждений, из них 3 школы, 2 учреждения дополнительного образования и 6 детских садов</w:t>
      </w:r>
      <w:r>
        <w:t xml:space="preserve">. Указанное оборудование работает в штатном режиме, проблемных вопросов с функционированием не возникает. </w:t>
      </w:r>
      <w:r>
        <w:t>С</w:t>
      </w:r>
      <w:r>
        <w:t xml:space="preserve">истемами оповещения и управления эвакуацией </w:t>
      </w:r>
      <w:r>
        <w:t>в 2024 году оснащено 12 учреждений на сумму 3684 тыс. рублей.</w:t>
      </w:r>
    </w:p>
    <w:p w14:paraId="3E000000">
      <w:pPr>
        <w:pStyle w:val="Style_4"/>
        <w:spacing w:after="0" w:before="0" w:line="272" w:lineRule="atLeast"/>
        <w:ind w:firstLine="567"/>
        <w:jc w:val="both"/>
        <w:rPr>
          <w:b w:val="0"/>
          <w:sz w:val="28"/>
        </w:rPr>
      </w:pPr>
      <w:r>
        <w:rPr>
          <w:b w:val="0"/>
          <w:color w:val="000000"/>
          <w:sz w:val="28"/>
          <w:highlight w:val="white"/>
        </w:rPr>
        <w:t xml:space="preserve">В 2024 году в МОУ "СОШ с. Демьяс" проведена работы направленные на энергосбережение и повышение энергетической </w:t>
      </w:r>
      <w:r>
        <w:rPr>
          <w:b w:val="0"/>
          <w:color w:val="000000"/>
          <w:sz w:val="28"/>
          <w:highlight w:val="white"/>
        </w:rPr>
        <w:t>эффективности использования энергетических ресурсов системы теплоснабжения</w:t>
      </w:r>
      <w:r>
        <w:rPr>
          <w:b w:val="0"/>
          <w:color w:val="000000"/>
          <w:sz w:val="28"/>
          <w:highlight w:val="white"/>
        </w:rPr>
        <w:t xml:space="preserve">. </w:t>
      </w:r>
      <w:r>
        <w:rPr>
          <w:b w:val="0"/>
          <w:sz w:val="28"/>
          <w:highlight w:val="white"/>
        </w:rPr>
        <w:t>Проведена установка модульной котельной, заменена внутренняя система отопления на современные радиаторы.</w:t>
      </w:r>
      <w:r>
        <w:rPr>
          <w:rStyle w:val="Style_4_ch"/>
          <w:sz w:val="28"/>
        </w:rPr>
        <w:t xml:space="preserve"> </w:t>
      </w:r>
      <w:r>
        <w:rPr>
          <w:b w:val="0"/>
          <w:sz w:val="28"/>
        </w:rPr>
        <w:t xml:space="preserve"> Сумма затрат составила </w:t>
      </w:r>
      <w:r>
        <w:rPr>
          <w:b w:val="0"/>
          <w:sz w:val="28"/>
        </w:rPr>
        <w:t>9 956,0 тыс. руб. В августе 2024 года объявлен аукцион на проведение таких же работ в филиале МДОУ детский сад «Сказка» р.п</w:t>
      </w:r>
      <w:r>
        <w:rPr>
          <w:b w:val="0"/>
          <w:sz w:val="28"/>
        </w:rPr>
        <w:t>.Д</w:t>
      </w:r>
      <w:r>
        <w:rPr>
          <w:b w:val="0"/>
          <w:sz w:val="28"/>
        </w:rPr>
        <w:t>ергачи в с.Антоновка.</w:t>
      </w:r>
    </w:p>
    <w:p w14:paraId="3F000000">
      <w:pPr>
        <w:spacing w:after="0" w:line="240" w:lineRule="auto"/>
        <w:ind w:firstLine="567"/>
        <w:jc w:val="both"/>
      </w:pPr>
      <w:r>
        <w:t>Организация безопасного качественного горячего питания детей в</w:t>
      </w:r>
      <w:r>
        <w:t xml:space="preserve"> школах района является одной из важных и приоритетных задач, так как это условие сохранения здоровья детей и поддержания способности к эффективному обучению. </w:t>
      </w:r>
      <w:r>
        <w:t>Б</w:t>
      </w:r>
      <w:r>
        <w:t>есплатным одноразовым горячим питанием</w:t>
      </w:r>
      <w:r>
        <w:t xml:space="preserve"> с 1 сентября будут</w:t>
      </w:r>
      <w:r>
        <w:t xml:space="preserve"> обеспечены все учащиеся начальной школы </w:t>
      </w:r>
      <w:r>
        <w:t xml:space="preserve">(583 чел.), кроме того </w:t>
      </w:r>
      <w:r>
        <w:t>льготны</w:t>
      </w:r>
      <w:r>
        <w:t>м бесплатным питанием в школах будут пользоваться дети инвалиды, дети с ОВЗ и дети участников СВО.</w:t>
      </w:r>
      <w:r>
        <w:t xml:space="preserve"> При этом общий охват школьников горячим питанием в школах нашего </w:t>
      </w:r>
      <w:r>
        <w:t xml:space="preserve">района составит не менее </w:t>
      </w:r>
      <w:r>
        <w:t xml:space="preserve"> </w:t>
      </w:r>
      <w:r>
        <w:t>97%.</w:t>
      </w:r>
      <w:r>
        <w:t xml:space="preserve"> </w:t>
      </w:r>
    </w:p>
    <w:p w14:paraId="40000000">
      <w:pPr>
        <w:widowControl w:val="0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В рамках подготовки к новому учебному году в части обеспечения учебниками и учебными пособиями в 2024 году, в связи с обновлением Федеральных государственных образовательных стандартов реализованы мероприятия по замене  учебников и учебных пособий: по основным дисциплинам в 1, 2 классах, по математике и русскому языку в 5, 6, 10 и 11 классах.</w:t>
      </w:r>
      <w:r>
        <w:rPr>
          <w:sz w:val="28"/>
        </w:rPr>
        <w:t xml:space="preserve"> Всего закуплено 2027 экз. учебников и учебных пособий на общую </w:t>
      </w:r>
      <w:r>
        <w:rPr>
          <w:sz w:val="28"/>
        </w:rPr>
        <w:t xml:space="preserve">сумму </w:t>
      </w:r>
      <w:r>
        <w:rPr>
          <w:sz w:val="28"/>
        </w:rPr>
        <w:t>1258004,99</w:t>
      </w:r>
      <w:r>
        <w:rPr>
          <w:sz w:val="28"/>
        </w:rPr>
        <w:t xml:space="preserve"> руб. В апреле и мае 2024 году учебники уже поставлены в </w:t>
      </w:r>
      <w:r>
        <w:rPr>
          <w:sz w:val="28"/>
        </w:rPr>
        <w:t>школы района.</w:t>
      </w:r>
    </w:p>
    <w:p w14:paraId="41000000">
      <w:pPr>
        <w:spacing w:after="0" w:line="240" w:lineRule="auto"/>
        <w:ind w:firstLine="708"/>
        <w:jc w:val="both"/>
      </w:pPr>
      <w:r>
        <w:rPr>
          <w:color w:val="000000"/>
          <w:highlight w:val="white"/>
        </w:rPr>
        <w:t> Все образовательные организации готовы к новому учебному году, протоколы готовности подписаны членами комиссии. </w:t>
      </w:r>
    </w:p>
    <w:p w14:paraId="42000000">
      <w:pPr>
        <w:rPr>
          <w:b w:val="1"/>
          <w:sz w:val="28"/>
        </w:rPr>
      </w:pPr>
    </w:p>
    <w:p w14:paraId="43000000">
      <w:pPr>
        <w:rPr>
          <w:b w:val="1"/>
          <w:sz w:val="28"/>
        </w:rPr>
      </w:pPr>
    </w:p>
    <w:p w14:paraId="44000000">
      <w:pPr>
        <w:rPr>
          <w:b w:val="1"/>
          <w:sz w:val="28"/>
        </w:rPr>
      </w:pPr>
    </w:p>
    <w:p w14:paraId="45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sectPr>
      <w:pgSz w:h="16838" w:w="11906"/>
      <w:pgMar w:bottom="567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270"/>
      </w:pPr>
      <w:rPr>
        <w:rFonts w:ascii="Times New Roman" w:hAnsi="Times New Roman"/>
        <w:b w:val="0"/>
      </w:rPr>
    </w:lvl>
    <w:lvl w:ilvl="1">
      <w:start w:val="1"/>
      <w:numFmt w:val="decimal"/>
      <w:lvlText w:val="%1.%2."/>
      <w:lvlJc w:val="left"/>
      <w:pPr>
        <w:ind w:hanging="720" w:left="1855"/>
      </w:pPr>
      <w:rPr>
        <w:i w:val="0"/>
      </w:rPr>
    </w:lvl>
    <w:lvl w:ilvl="2">
      <w:start w:val="1"/>
      <w:numFmt w:val="decimal"/>
      <w:lvlText w:val="%1.%2.%3."/>
      <w:lvlJc w:val="left"/>
      <w:pPr>
        <w:ind w:hanging="720" w:left="2484"/>
      </w:pPr>
    </w:lvl>
    <w:lvl w:ilvl="3">
      <w:start w:val="1"/>
      <w:numFmt w:val="decimal"/>
      <w:lvlText w:val="%1.%2.%3.%4."/>
      <w:lvlJc w:val="left"/>
      <w:pPr>
        <w:ind w:hanging="1080" w:left="3771"/>
      </w:pPr>
    </w:lvl>
    <w:lvl w:ilvl="4">
      <w:start w:val="1"/>
      <w:numFmt w:val="decimal"/>
      <w:lvlText w:val="%1.%2.%3.%4.%5."/>
      <w:lvlJc w:val="left"/>
      <w:pPr>
        <w:ind w:hanging="1080" w:left="4698"/>
      </w:pPr>
    </w:lvl>
    <w:lvl w:ilvl="5">
      <w:start w:val="1"/>
      <w:numFmt w:val="decimal"/>
      <w:lvlText w:val="%1.%2.%3.%4.%5.%6."/>
      <w:lvlJc w:val="left"/>
      <w:pPr>
        <w:ind w:hanging="1440" w:left="5985"/>
      </w:pPr>
    </w:lvl>
    <w:lvl w:ilvl="6">
      <w:start w:val="1"/>
      <w:numFmt w:val="decimal"/>
      <w:lvlText w:val="%1.%2.%3.%4.%5.%6.%7."/>
      <w:lvlJc w:val="left"/>
      <w:pPr>
        <w:ind w:hanging="1800" w:left="7272"/>
      </w:pPr>
    </w:lvl>
    <w:lvl w:ilvl="7">
      <w:start w:val="1"/>
      <w:numFmt w:val="decimal"/>
      <w:lvlText w:val="%1.%2.%3.%4.%5.%6.%7.%8."/>
      <w:lvlJc w:val="left"/>
      <w:pPr>
        <w:ind w:hanging="1800" w:left="8199"/>
      </w:pPr>
    </w:lvl>
    <w:lvl w:ilvl="8">
      <w:start w:val="1"/>
      <w:numFmt w:val="decimal"/>
      <w:lvlText w:val="%1.%2.%3.%4.%5.%6.%7.%8.%9."/>
      <w:lvlJc w:val="left"/>
      <w:pPr>
        <w:ind w:hanging="2160" w:left="948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" w:type="paragraph">
    <w:name w:val="heading 9"/>
    <w:basedOn w:val="Style_5"/>
    <w:next w:val="Style_5"/>
    <w:link w:val="Style_1_ch"/>
    <w:uiPriority w:val="9"/>
    <w:qFormat/>
    <w:pPr>
      <w:keepNext w:val="1"/>
      <w:ind/>
      <w:jc w:val="center"/>
      <w:outlineLvl w:val="8"/>
    </w:pPr>
    <w:rPr>
      <w:b w:val="1"/>
      <w:sz w:val="44"/>
    </w:rPr>
  </w:style>
  <w:style w:styleId="Style_1_ch" w:type="character">
    <w:name w:val="heading 9"/>
    <w:basedOn w:val="Style_5_ch"/>
    <w:link w:val="Style_1"/>
    <w:rPr>
      <w:b w:val="1"/>
      <w:sz w:val="44"/>
    </w:rPr>
  </w:style>
  <w:style w:styleId="Style_12" w:type="paragraph">
    <w:name w:val="spellingerror"/>
    <w:basedOn w:val="Style_10"/>
    <w:link w:val="Style_12_ch"/>
  </w:style>
  <w:style w:styleId="Style_12_ch" w:type="character">
    <w:name w:val="spellingerror"/>
    <w:basedOn w:val="Style_10_ch"/>
    <w:link w:val="Style_12"/>
  </w:style>
  <w:style w:styleId="Style_13" w:type="paragraph">
    <w:name w:val="Emphasis"/>
    <w:basedOn w:val="Style_10"/>
    <w:link w:val="Style_13_ch"/>
    <w:rPr>
      <w:i w:val="1"/>
    </w:rPr>
  </w:style>
  <w:style w:styleId="Style_13_ch" w:type="character">
    <w:name w:val="Emphasis"/>
    <w:basedOn w:val="Style_10_ch"/>
    <w:link w:val="Style_13"/>
    <w:rPr>
      <w:i w:val="1"/>
    </w:rPr>
  </w:style>
  <w:style w:styleId="Style_14" w:type="paragraph">
    <w:name w:val="toc 3"/>
    <w:next w:val="Style_5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2" w:type="paragraph">
    <w:name w:val="Body Text 2"/>
    <w:basedOn w:val="Style_5"/>
    <w:link w:val="Style_2_ch"/>
    <w:pPr>
      <w:ind/>
      <w:jc w:val="both"/>
    </w:pPr>
  </w:style>
  <w:style w:styleId="Style_2_ch" w:type="character">
    <w:name w:val="Body Text 2"/>
    <w:basedOn w:val="Style_5_ch"/>
    <w:link w:val="Style_2"/>
  </w:style>
  <w:style w:styleId="Style_15" w:type="paragraph">
    <w:basedOn w:val="Style_5"/>
    <w:next w:val="Style_16"/>
    <w:link w:val="Style_15_ch"/>
    <w:semiHidden w:val="1"/>
    <w:unhideWhenUsed w:val="1"/>
    <w:pPr>
      <w:spacing w:afterAutospacing="on" w:beforeAutospacing="on"/>
      <w:ind/>
    </w:pPr>
  </w:style>
  <w:style w:styleId="Style_15_ch" w:type="character">
    <w:basedOn w:val="Style_5_ch"/>
    <w:link w:val="Style_15"/>
    <w:semiHidden w:val="1"/>
    <w:unhideWhenUsed w:val="1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6" w:type="paragraph">
    <w:name w:val="Normal (Web)"/>
    <w:basedOn w:val="Style_5"/>
    <w:link w:val="Style_16_ch"/>
  </w:style>
  <w:style w:styleId="Style_16_ch" w:type="character">
    <w:name w:val="Normal (Web)"/>
    <w:basedOn w:val="Style_5_ch"/>
    <w:link w:val="Style_16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normaltextrun"/>
    <w:basedOn w:val="Style_10"/>
    <w:link w:val="Style_22_ch"/>
  </w:style>
  <w:style w:styleId="Style_22_ch" w:type="character">
    <w:name w:val="normaltextrun"/>
    <w:basedOn w:val="Style_10_ch"/>
    <w:link w:val="Style_22"/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ody Text"/>
    <w:basedOn w:val="Style_5"/>
    <w:link w:val="Style_24_ch"/>
    <w:pPr>
      <w:spacing w:after="120"/>
      <w:ind/>
    </w:pPr>
  </w:style>
  <w:style w:styleId="Style_24_ch" w:type="character">
    <w:name w:val="Body Text"/>
    <w:basedOn w:val="Style_5_ch"/>
    <w:link w:val="Style_24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5" w:type="paragraph">
    <w:name w:val="toc 9"/>
    <w:next w:val="Style_5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voice"/>
    <w:basedOn w:val="Style_5"/>
    <w:link w:val="Style_26_ch"/>
    <w:pPr>
      <w:spacing w:afterAutospacing="on" w:beforeAutospacing="on"/>
      <w:ind/>
    </w:pPr>
  </w:style>
  <w:style w:styleId="Style_26_ch" w:type="character">
    <w:name w:val="voice"/>
    <w:basedOn w:val="Style_5_ch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toc 5"/>
    <w:next w:val="Style_5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paragraph"/>
    <w:basedOn w:val="Style_5"/>
    <w:link w:val="Style_30_ch"/>
    <w:pPr>
      <w:spacing w:afterAutospacing="on" w:beforeAutospacing="on"/>
      <w:ind/>
    </w:pPr>
  </w:style>
  <w:style w:styleId="Style_30_ch" w:type="character">
    <w:name w:val="paragraph"/>
    <w:basedOn w:val="Style_5_ch"/>
    <w:link w:val="Style_30"/>
  </w:style>
  <w:style w:styleId="Style_31" w:type="paragraph">
    <w:name w:val="No Spacing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No Spacing"/>
    <w:link w:val="Style_31"/>
    <w:rPr>
      <w:rFonts w:ascii="Calibri" w:hAnsi="Calibri"/>
    </w:rPr>
  </w:style>
  <w:style w:styleId="Style_32" w:type="paragraph">
    <w:name w:val="Subtitle"/>
    <w:next w:val="Style_5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5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next w:val="Style_5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4" w:type="paragraph">
    <w:name w:val="heading 2"/>
    <w:next w:val="Style_5"/>
    <w:link w:val="Style_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_ch" w:type="character">
    <w:name w:val="heading 2"/>
    <w:link w:val="Style_4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2024-09-05T06:00:28Z</dcterms:modified>
</cp:coreProperties>
</file>