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3C" w:rsidRDefault="00452D3C" w:rsidP="0073004D">
      <w:pPr>
        <w:pStyle w:val="a3"/>
        <w:ind w:left="0"/>
        <w:rPr>
          <w:b/>
          <w:bCs/>
          <w:szCs w:val="28"/>
        </w:rPr>
      </w:pPr>
    </w:p>
    <w:p w:rsidR="001F0B6C" w:rsidRPr="004559C3" w:rsidRDefault="00EC741C">
      <w:pPr>
        <w:pStyle w:val="a3"/>
        <w:jc w:val="center"/>
        <w:rPr>
          <w:b/>
          <w:bCs/>
          <w:szCs w:val="28"/>
        </w:rPr>
      </w:pPr>
      <w:r w:rsidRPr="004559C3">
        <w:rPr>
          <w:b/>
          <w:bCs/>
          <w:szCs w:val="28"/>
        </w:rPr>
        <w:t>Пояснительная записка</w:t>
      </w:r>
    </w:p>
    <w:p w:rsidR="00E94019" w:rsidRPr="004559C3" w:rsidRDefault="00EC741C" w:rsidP="001675FD">
      <w:pPr>
        <w:pStyle w:val="a3"/>
        <w:jc w:val="center"/>
        <w:rPr>
          <w:b/>
          <w:bCs/>
          <w:szCs w:val="28"/>
        </w:rPr>
      </w:pPr>
      <w:r w:rsidRPr="004559C3">
        <w:rPr>
          <w:b/>
          <w:bCs/>
          <w:szCs w:val="28"/>
        </w:rPr>
        <w:t xml:space="preserve">по исполнению бюджета </w:t>
      </w:r>
      <w:proofErr w:type="spellStart"/>
      <w:r w:rsidR="00BA627A">
        <w:rPr>
          <w:b/>
          <w:bCs/>
          <w:szCs w:val="28"/>
        </w:rPr>
        <w:t>Верхазовского</w:t>
      </w:r>
      <w:proofErr w:type="spellEnd"/>
      <w:r w:rsidRPr="004559C3">
        <w:rPr>
          <w:b/>
          <w:bCs/>
          <w:szCs w:val="28"/>
        </w:rPr>
        <w:t xml:space="preserve"> муниципального </w:t>
      </w:r>
      <w:r w:rsidR="00380497">
        <w:rPr>
          <w:b/>
          <w:bCs/>
          <w:szCs w:val="28"/>
        </w:rPr>
        <w:t xml:space="preserve">образования </w:t>
      </w:r>
    </w:p>
    <w:p w:rsidR="001F0B6C" w:rsidRPr="004559C3" w:rsidRDefault="00EC741C" w:rsidP="001675FD">
      <w:pPr>
        <w:pStyle w:val="a3"/>
        <w:jc w:val="center"/>
        <w:rPr>
          <w:b/>
          <w:bCs/>
          <w:szCs w:val="28"/>
        </w:rPr>
      </w:pPr>
      <w:r w:rsidRPr="004559C3">
        <w:rPr>
          <w:b/>
          <w:bCs/>
          <w:szCs w:val="28"/>
        </w:rPr>
        <w:t xml:space="preserve">за </w:t>
      </w:r>
      <w:r w:rsidR="007C1031">
        <w:rPr>
          <w:b/>
          <w:bCs/>
          <w:szCs w:val="28"/>
        </w:rPr>
        <w:t>1</w:t>
      </w:r>
      <w:r w:rsidR="00390FD6">
        <w:rPr>
          <w:b/>
          <w:bCs/>
          <w:szCs w:val="28"/>
        </w:rPr>
        <w:t xml:space="preserve"> </w:t>
      </w:r>
      <w:r w:rsidR="002862DA">
        <w:rPr>
          <w:b/>
          <w:bCs/>
          <w:szCs w:val="28"/>
        </w:rPr>
        <w:t>квартал</w:t>
      </w:r>
      <w:r w:rsidR="001B38B5">
        <w:rPr>
          <w:b/>
          <w:bCs/>
          <w:szCs w:val="28"/>
        </w:rPr>
        <w:t xml:space="preserve"> </w:t>
      </w:r>
      <w:r w:rsidR="001E33E0">
        <w:rPr>
          <w:b/>
          <w:bCs/>
          <w:szCs w:val="28"/>
        </w:rPr>
        <w:t>20</w:t>
      </w:r>
      <w:r w:rsidR="006C2702">
        <w:rPr>
          <w:b/>
          <w:bCs/>
          <w:szCs w:val="28"/>
        </w:rPr>
        <w:t>2</w:t>
      </w:r>
      <w:r w:rsidR="001C16E9">
        <w:rPr>
          <w:b/>
          <w:bCs/>
          <w:szCs w:val="28"/>
        </w:rPr>
        <w:t>4</w:t>
      </w:r>
      <w:r w:rsidRPr="004559C3">
        <w:rPr>
          <w:b/>
          <w:bCs/>
          <w:szCs w:val="28"/>
        </w:rPr>
        <w:t xml:space="preserve"> год</w:t>
      </w:r>
      <w:r w:rsidR="00CB471E" w:rsidRPr="004559C3">
        <w:rPr>
          <w:b/>
          <w:bCs/>
          <w:szCs w:val="28"/>
        </w:rPr>
        <w:t>а</w:t>
      </w:r>
    </w:p>
    <w:p w:rsidR="007848EC" w:rsidRPr="00CA1B76" w:rsidRDefault="007848EC" w:rsidP="007A76F4">
      <w:pPr>
        <w:ind w:left="-567" w:firstLine="567"/>
        <w:jc w:val="both"/>
        <w:rPr>
          <w:sz w:val="28"/>
          <w:szCs w:val="28"/>
        </w:rPr>
      </w:pPr>
    </w:p>
    <w:p w:rsidR="002E7D88" w:rsidRDefault="00913736" w:rsidP="006376E8">
      <w:pPr>
        <w:ind w:firstLine="567"/>
        <w:jc w:val="both"/>
        <w:rPr>
          <w:sz w:val="28"/>
          <w:szCs w:val="28"/>
        </w:rPr>
      </w:pPr>
      <w:r w:rsidRPr="00913736">
        <w:rPr>
          <w:sz w:val="28"/>
          <w:szCs w:val="28"/>
        </w:rPr>
        <w:t xml:space="preserve">Исполнение </w:t>
      </w:r>
      <w:r w:rsidRPr="00913736">
        <w:rPr>
          <w:bCs/>
          <w:sz w:val="28"/>
          <w:szCs w:val="28"/>
        </w:rPr>
        <w:t xml:space="preserve">бюджета </w:t>
      </w:r>
      <w:proofErr w:type="spellStart"/>
      <w:r w:rsidR="00BA627A">
        <w:rPr>
          <w:bCs/>
          <w:sz w:val="28"/>
          <w:szCs w:val="28"/>
        </w:rPr>
        <w:t>Верхазовского</w:t>
      </w:r>
      <w:proofErr w:type="spellEnd"/>
      <w:r w:rsidRPr="00913736">
        <w:rPr>
          <w:bCs/>
          <w:sz w:val="28"/>
          <w:szCs w:val="28"/>
        </w:rPr>
        <w:t xml:space="preserve"> муниципального </w:t>
      </w:r>
      <w:r w:rsidR="00380497">
        <w:rPr>
          <w:bCs/>
          <w:sz w:val="28"/>
          <w:szCs w:val="28"/>
        </w:rPr>
        <w:t>образования</w:t>
      </w:r>
      <w:r w:rsidRPr="00913736">
        <w:rPr>
          <w:b/>
          <w:bCs/>
          <w:szCs w:val="28"/>
        </w:rPr>
        <w:t xml:space="preserve"> </w:t>
      </w:r>
      <w:r w:rsidRPr="00913736">
        <w:rPr>
          <w:sz w:val="28"/>
          <w:szCs w:val="28"/>
        </w:rPr>
        <w:t xml:space="preserve">за </w:t>
      </w:r>
      <w:r w:rsidR="007C1031">
        <w:rPr>
          <w:sz w:val="28"/>
          <w:szCs w:val="28"/>
        </w:rPr>
        <w:t>1</w:t>
      </w:r>
      <w:r w:rsidRPr="00913736">
        <w:rPr>
          <w:sz w:val="28"/>
          <w:szCs w:val="28"/>
        </w:rPr>
        <w:t xml:space="preserve"> квартал 20</w:t>
      </w:r>
      <w:r w:rsidR="006C2702">
        <w:rPr>
          <w:sz w:val="28"/>
          <w:szCs w:val="28"/>
        </w:rPr>
        <w:t>2</w:t>
      </w:r>
      <w:r w:rsidR="001C16E9">
        <w:rPr>
          <w:sz w:val="28"/>
          <w:szCs w:val="28"/>
        </w:rPr>
        <w:t>4</w:t>
      </w:r>
      <w:r w:rsidRPr="00913736">
        <w:rPr>
          <w:sz w:val="28"/>
          <w:szCs w:val="28"/>
        </w:rPr>
        <w:t xml:space="preserve"> года составило по доходам с учетом безвозмездных перечислений </w:t>
      </w:r>
      <w:r w:rsidR="001C16E9">
        <w:rPr>
          <w:sz w:val="28"/>
          <w:szCs w:val="28"/>
        </w:rPr>
        <w:t>537875,88</w:t>
      </w:r>
      <w:r w:rsidR="000571E6">
        <w:rPr>
          <w:sz w:val="28"/>
          <w:szCs w:val="28"/>
        </w:rPr>
        <w:t xml:space="preserve"> </w:t>
      </w:r>
      <w:r w:rsidRPr="00913736">
        <w:rPr>
          <w:sz w:val="28"/>
          <w:szCs w:val="28"/>
        </w:rPr>
        <w:t xml:space="preserve"> рублей  (</w:t>
      </w:r>
      <w:r w:rsidR="001C16E9">
        <w:rPr>
          <w:sz w:val="28"/>
          <w:szCs w:val="28"/>
        </w:rPr>
        <w:t>15,94</w:t>
      </w:r>
      <w:r w:rsidR="00456E5C">
        <w:rPr>
          <w:sz w:val="28"/>
          <w:szCs w:val="28"/>
        </w:rPr>
        <w:t xml:space="preserve"> % к назначениям года</w:t>
      </w:r>
      <w:r w:rsidRPr="00913736">
        <w:rPr>
          <w:sz w:val="28"/>
          <w:szCs w:val="28"/>
        </w:rPr>
        <w:t>)</w:t>
      </w:r>
      <w:r w:rsidR="00E539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A5A06">
        <w:rPr>
          <w:sz w:val="28"/>
          <w:szCs w:val="28"/>
        </w:rPr>
        <w:t>И</w:t>
      </w:r>
      <w:r w:rsidR="002E7D88">
        <w:rPr>
          <w:sz w:val="28"/>
          <w:szCs w:val="28"/>
        </w:rPr>
        <w:t xml:space="preserve">сполнение </w:t>
      </w:r>
      <w:r w:rsidR="002E7D88" w:rsidRPr="0063356E">
        <w:rPr>
          <w:bCs/>
          <w:sz w:val="28"/>
          <w:szCs w:val="28"/>
        </w:rPr>
        <w:t xml:space="preserve">бюджета </w:t>
      </w:r>
      <w:proofErr w:type="spellStart"/>
      <w:r w:rsidR="00BA627A">
        <w:rPr>
          <w:bCs/>
          <w:sz w:val="28"/>
          <w:szCs w:val="28"/>
        </w:rPr>
        <w:t>Верхазовского</w:t>
      </w:r>
      <w:proofErr w:type="spellEnd"/>
      <w:r w:rsidR="002E7D88" w:rsidRPr="0063356E">
        <w:rPr>
          <w:bCs/>
          <w:sz w:val="28"/>
          <w:szCs w:val="28"/>
        </w:rPr>
        <w:t xml:space="preserve"> муниципального </w:t>
      </w:r>
      <w:r w:rsidR="00380497">
        <w:rPr>
          <w:bCs/>
          <w:sz w:val="28"/>
          <w:szCs w:val="28"/>
        </w:rPr>
        <w:t>образования</w:t>
      </w:r>
      <w:r w:rsidR="002E7D88">
        <w:rPr>
          <w:b/>
          <w:bCs/>
          <w:szCs w:val="28"/>
        </w:rPr>
        <w:t xml:space="preserve"> </w:t>
      </w:r>
      <w:r w:rsidR="002E7D88" w:rsidRPr="00CA1B76">
        <w:rPr>
          <w:sz w:val="28"/>
          <w:szCs w:val="28"/>
        </w:rPr>
        <w:t>по расходам</w:t>
      </w:r>
      <w:r w:rsidR="002E7D88">
        <w:rPr>
          <w:sz w:val="28"/>
          <w:szCs w:val="28"/>
        </w:rPr>
        <w:t xml:space="preserve"> за</w:t>
      </w:r>
      <w:r w:rsidR="0094264E">
        <w:rPr>
          <w:sz w:val="28"/>
          <w:szCs w:val="28"/>
        </w:rPr>
        <w:t xml:space="preserve"> </w:t>
      </w:r>
      <w:r w:rsidR="007C1031">
        <w:rPr>
          <w:sz w:val="28"/>
          <w:szCs w:val="28"/>
        </w:rPr>
        <w:t>1</w:t>
      </w:r>
      <w:r w:rsidR="0094264E">
        <w:rPr>
          <w:sz w:val="28"/>
          <w:szCs w:val="28"/>
        </w:rPr>
        <w:t xml:space="preserve"> </w:t>
      </w:r>
      <w:r w:rsidR="00DA5A06">
        <w:rPr>
          <w:sz w:val="28"/>
          <w:szCs w:val="28"/>
        </w:rPr>
        <w:t>квартал</w:t>
      </w:r>
      <w:r w:rsidR="002E7D88" w:rsidRPr="0063356E">
        <w:rPr>
          <w:sz w:val="28"/>
          <w:szCs w:val="28"/>
        </w:rPr>
        <w:t xml:space="preserve"> </w:t>
      </w:r>
      <w:r w:rsidR="002E7D88" w:rsidRPr="00CA1B76">
        <w:rPr>
          <w:sz w:val="28"/>
          <w:szCs w:val="28"/>
        </w:rPr>
        <w:t>20</w:t>
      </w:r>
      <w:r w:rsidR="006C2702">
        <w:rPr>
          <w:sz w:val="28"/>
          <w:szCs w:val="28"/>
        </w:rPr>
        <w:t>2</w:t>
      </w:r>
      <w:r w:rsidR="001C16E9">
        <w:rPr>
          <w:sz w:val="28"/>
          <w:szCs w:val="28"/>
        </w:rPr>
        <w:t>4</w:t>
      </w:r>
      <w:r w:rsidR="00380497">
        <w:rPr>
          <w:sz w:val="28"/>
          <w:szCs w:val="28"/>
        </w:rPr>
        <w:t xml:space="preserve"> </w:t>
      </w:r>
      <w:r w:rsidR="00426CF3">
        <w:rPr>
          <w:sz w:val="28"/>
          <w:szCs w:val="28"/>
        </w:rPr>
        <w:t>г</w:t>
      </w:r>
      <w:r w:rsidR="00952F62">
        <w:rPr>
          <w:sz w:val="28"/>
          <w:szCs w:val="28"/>
        </w:rPr>
        <w:t>.</w:t>
      </w:r>
      <w:r w:rsidR="002E7D88" w:rsidRPr="00CA1B76">
        <w:rPr>
          <w:sz w:val="28"/>
          <w:szCs w:val="28"/>
        </w:rPr>
        <w:t xml:space="preserve">  </w:t>
      </w:r>
      <w:r w:rsidR="00380497">
        <w:rPr>
          <w:sz w:val="28"/>
          <w:szCs w:val="28"/>
        </w:rPr>
        <w:t>–</w:t>
      </w:r>
      <w:r w:rsidR="002E7D88">
        <w:rPr>
          <w:sz w:val="28"/>
          <w:szCs w:val="28"/>
        </w:rPr>
        <w:t xml:space="preserve"> </w:t>
      </w:r>
      <w:r w:rsidR="001C16E9">
        <w:rPr>
          <w:sz w:val="28"/>
          <w:szCs w:val="28"/>
        </w:rPr>
        <w:t>536528,33</w:t>
      </w:r>
      <w:r w:rsidR="00F824F3">
        <w:rPr>
          <w:sz w:val="28"/>
          <w:szCs w:val="28"/>
        </w:rPr>
        <w:t xml:space="preserve"> </w:t>
      </w:r>
      <w:r w:rsidR="002E7D88" w:rsidRPr="00CA1B76">
        <w:rPr>
          <w:sz w:val="28"/>
          <w:szCs w:val="28"/>
        </w:rPr>
        <w:t xml:space="preserve">рублей </w:t>
      </w:r>
      <w:r w:rsidR="002E7D88" w:rsidRPr="007C4F2E">
        <w:rPr>
          <w:sz w:val="28"/>
          <w:szCs w:val="28"/>
        </w:rPr>
        <w:t>(</w:t>
      </w:r>
      <w:r w:rsidR="001C16E9">
        <w:rPr>
          <w:sz w:val="28"/>
          <w:szCs w:val="28"/>
        </w:rPr>
        <w:t>13,20</w:t>
      </w:r>
      <w:r w:rsidR="00CF450F">
        <w:rPr>
          <w:sz w:val="28"/>
          <w:szCs w:val="28"/>
        </w:rPr>
        <w:t xml:space="preserve"> </w:t>
      </w:r>
      <w:r w:rsidR="002E7D88" w:rsidRPr="007C4F2E">
        <w:rPr>
          <w:sz w:val="28"/>
          <w:szCs w:val="28"/>
        </w:rPr>
        <w:t>% к назначениям года</w:t>
      </w:r>
      <w:r w:rsidR="00380497">
        <w:rPr>
          <w:sz w:val="28"/>
          <w:szCs w:val="28"/>
        </w:rPr>
        <w:t>)</w:t>
      </w:r>
      <w:r w:rsidR="00390FD6">
        <w:rPr>
          <w:sz w:val="28"/>
          <w:szCs w:val="28"/>
        </w:rPr>
        <w:t>.</w:t>
      </w:r>
    </w:p>
    <w:p w:rsidR="00BB1205" w:rsidRPr="00CA1B76" w:rsidRDefault="00BB1205" w:rsidP="002E7D88">
      <w:pPr>
        <w:ind w:firstLine="567"/>
        <w:jc w:val="both"/>
        <w:rPr>
          <w:sz w:val="28"/>
          <w:szCs w:val="28"/>
        </w:rPr>
      </w:pPr>
    </w:p>
    <w:p w:rsidR="00913736" w:rsidRPr="00913736" w:rsidRDefault="00913736" w:rsidP="00913736">
      <w:pPr>
        <w:ind w:firstLine="567"/>
        <w:jc w:val="both"/>
        <w:rPr>
          <w:sz w:val="28"/>
          <w:szCs w:val="28"/>
        </w:rPr>
      </w:pPr>
      <w:r w:rsidRPr="00913736">
        <w:rPr>
          <w:sz w:val="28"/>
          <w:szCs w:val="28"/>
        </w:rPr>
        <w:t>Доходная часть бюджета на 20</w:t>
      </w:r>
      <w:r w:rsidR="006C2702">
        <w:rPr>
          <w:sz w:val="28"/>
          <w:szCs w:val="28"/>
        </w:rPr>
        <w:t>2</w:t>
      </w:r>
      <w:r w:rsidR="002A41B9">
        <w:rPr>
          <w:sz w:val="28"/>
          <w:szCs w:val="28"/>
        </w:rPr>
        <w:t>4</w:t>
      </w:r>
      <w:r w:rsidRPr="00913736">
        <w:rPr>
          <w:sz w:val="28"/>
          <w:szCs w:val="28"/>
        </w:rPr>
        <w:t xml:space="preserve">г. в части налоговых и неналоговых доходов утверждена в сумме </w:t>
      </w:r>
      <w:r w:rsidR="002A41B9">
        <w:rPr>
          <w:sz w:val="28"/>
          <w:szCs w:val="28"/>
        </w:rPr>
        <w:t>993300,00</w:t>
      </w:r>
      <w:r w:rsidR="004A0889">
        <w:rPr>
          <w:sz w:val="28"/>
          <w:szCs w:val="28"/>
        </w:rPr>
        <w:t xml:space="preserve"> </w:t>
      </w:r>
      <w:r w:rsidRPr="00913736">
        <w:rPr>
          <w:sz w:val="28"/>
          <w:szCs w:val="28"/>
        </w:rPr>
        <w:t xml:space="preserve">рублей.  Доходная часть  за </w:t>
      </w:r>
      <w:r w:rsidR="006D4753">
        <w:rPr>
          <w:sz w:val="28"/>
          <w:szCs w:val="28"/>
        </w:rPr>
        <w:t>1</w:t>
      </w:r>
      <w:r w:rsidRPr="00913736">
        <w:rPr>
          <w:sz w:val="28"/>
          <w:szCs w:val="28"/>
        </w:rPr>
        <w:t xml:space="preserve"> квартал 20</w:t>
      </w:r>
      <w:r w:rsidR="006C2702">
        <w:rPr>
          <w:sz w:val="28"/>
          <w:szCs w:val="28"/>
        </w:rPr>
        <w:t>2</w:t>
      </w:r>
      <w:r w:rsidR="002A41B9">
        <w:rPr>
          <w:sz w:val="28"/>
          <w:szCs w:val="28"/>
        </w:rPr>
        <w:t>4</w:t>
      </w:r>
      <w:r w:rsidRPr="00913736">
        <w:rPr>
          <w:sz w:val="28"/>
          <w:szCs w:val="28"/>
        </w:rPr>
        <w:t xml:space="preserve"> года исполнена в сумме </w:t>
      </w:r>
      <w:r w:rsidR="002A41B9">
        <w:rPr>
          <w:sz w:val="28"/>
          <w:szCs w:val="28"/>
        </w:rPr>
        <w:t>358418,03</w:t>
      </w:r>
      <w:r w:rsidR="006D4753">
        <w:rPr>
          <w:sz w:val="28"/>
          <w:szCs w:val="28"/>
        </w:rPr>
        <w:t xml:space="preserve"> </w:t>
      </w:r>
      <w:r w:rsidR="004A0889">
        <w:rPr>
          <w:sz w:val="28"/>
          <w:szCs w:val="28"/>
        </w:rPr>
        <w:t>рублей</w:t>
      </w:r>
      <w:r w:rsidRPr="00913736">
        <w:rPr>
          <w:sz w:val="28"/>
          <w:szCs w:val="28"/>
        </w:rPr>
        <w:t xml:space="preserve">.  </w:t>
      </w:r>
    </w:p>
    <w:p w:rsidR="00913736" w:rsidRPr="00913736" w:rsidRDefault="00913736" w:rsidP="00913736">
      <w:pPr>
        <w:pStyle w:val="a3"/>
        <w:spacing w:line="276" w:lineRule="auto"/>
        <w:ind w:left="0"/>
        <w:jc w:val="both"/>
        <w:rPr>
          <w:szCs w:val="28"/>
        </w:rPr>
      </w:pPr>
      <w:r w:rsidRPr="00913736">
        <w:rPr>
          <w:szCs w:val="28"/>
        </w:rPr>
        <w:t xml:space="preserve">      В бюджет муниципального </w:t>
      </w:r>
      <w:r w:rsidR="00CF450F">
        <w:rPr>
          <w:szCs w:val="28"/>
        </w:rPr>
        <w:t>образования</w:t>
      </w:r>
      <w:r w:rsidRPr="00913736">
        <w:rPr>
          <w:szCs w:val="28"/>
        </w:rPr>
        <w:t xml:space="preserve"> за </w:t>
      </w:r>
      <w:r w:rsidR="00BA627A">
        <w:rPr>
          <w:szCs w:val="28"/>
        </w:rPr>
        <w:t>1</w:t>
      </w:r>
      <w:r w:rsidRPr="00913736">
        <w:rPr>
          <w:szCs w:val="28"/>
        </w:rPr>
        <w:t xml:space="preserve"> квартал 20</w:t>
      </w:r>
      <w:r w:rsidR="006C2702">
        <w:rPr>
          <w:szCs w:val="28"/>
        </w:rPr>
        <w:t>2</w:t>
      </w:r>
      <w:r w:rsidR="002A41B9">
        <w:rPr>
          <w:szCs w:val="28"/>
        </w:rPr>
        <w:t>4</w:t>
      </w:r>
      <w:r w:rsidR="004A0889">
        <w:rPr>
          <w:szCs w:val="28"/>
        </w:rPr>
        <w:t xml:space="preserve"> </w:t>
      </w:r>
      <w:r w:rsidRPr="00913736">
        <w:rPr>
          <w:szCs w:val="28"/>
        </w:rPr>
        <w:t xml:space="preserve">г.  поступило </w:t>
      </w:r>
      <w:r w:rsidR="002A41B9">
        <w:rPr>
          <w:szCs w:val="28"/>
        </w:rPr>
        <w:t>292600,11</w:t>
      </w:r>
      <w:r w:rsidRPr="00913736">
        <w:rPr>
          <w:szCs w:val="28"/>
        </w:rPr>
        <w:t xml:space="preserve"> рублей налоговых платежей, доля которых в общем объеме доходов составила </w:t>
      </w:r>
      <w:r w:rsidR="002A41B9">
        <w:rPr>
          <w:szCs w:val="28"/>
        </w:rPr>
        <w:t>54,4</w:t>
      </w:r>
      <w:r w:rsidRPr="00913736">
        <w:rPr>
          <w:szCs w:val="28"/>
        </w:rPr>
        <w:t xml:space="preserve"> %.</w:t>
      </w:r>
    </w:p>
    <w:p w:rsidR="00913736" w:rsidRDefault="00913736" w:rsidP="00913736">
      <w:pPr>
        <w:pStyle w:val="a3"/>
        <w:spacing w:line="276" w:lineRule="auto"/>
        <w:ind w:left="0"/>
        <w:jc w:val="both"/>
        <w:rPr>
          <w:szCs w:val="28"/>
        </w:rPr>
      </w:pPr>
      <w:r w:rsidRPr="00913736">
        <w:rPr>
          <w:szCs w:val="28"/>
        </w:rPr>
        <w:t xml:space="preserve">     </w:t>
      </w:r>
      <w:proofErr w:type="gramStart"/>
      <w:r w:rsidRPr="00913736">
        <w:rPr>
          <w:szCs w:val="28"/>
        </w:rPr>
        <w:t xml:space="preserve">Основной объем налоговых и неналоговых поступлений бюджета </w:t>
      </w:r>
      <w:proofErr w:type="spellStart"/>
      <w:r w:rsidR="00BA627A">
        <w:rPr>
          <w:szCs w:val="28"/>
        </w:rPr>
        <w:t>Верхазовского</w:t>
      </w:r>
      <w:proofErr w:type="spellEnd"/>
      <w:r w:rsidRPr="00913736">
        <w:rPr>
          <w:szCs w:val="28"/>
        </w:rPr>
        <w:t xml:space="preserve"> муниципального  </w:t>
      </w:r>
      <w:r w:rsidR="004A0889">
        <w:rPr>
          <w:szCs w:val="28"/>
        </w:rPr>
        <w:t>образования</w:t>
      </w:r>
      <w:r w:rsidRPr="00913736">
        <w:rPr>
          <w:szCs w:val="28"/>
        </w:rPr>
        <w:t xml:space="preserve"> обеспечен за счет поступлений налогов: налог на доходы физических лиц </w:t>
      </w:r>
      <w:r w:rsidR="004F68DD">
        <w:rPr>
          <w:szCs w:val="28"/>
        </w:rPr>
        <w:t>36802,34</w:t>
      </w:r>
      <w:r w:rsidR="004A0889">
        <w:rPr>
          <w:szCs w:val="28"/>
        </w:rPr>
        <w:t xml:space="preserve"> руб.</w:t>
      </w:r>
      <w:r w:rsidRPr="00913736">
        <w:rPr>
          <w:szCs w:val="28"/>
        </w:rPr>
        <w:t>,</w:t>
      </w:r>
      <w:r w:rsidR="006376E8">
        <w:rPr>
          <w:szCs w:val="28"/>
        </w:rPr>
        <w:t xml:space="preserve"> </w:t>
      </w:r>
      <w:r w:rsidR="002C3225">
        <w:rPr>
          <w:szCs w:val="28"/>
        </w:rPr>
        <w:t xml:space="preserve">Акцизы по подакцизным товарам </w:t>
      </w:r>
      <w:r w:rsidR="004F68DD">
        <w:rPr>
          <w:szCs w:val="28"/>
        </w:rPr>
        <w:t>129652,63</w:t>
      </w:r>
      <w:r w:rsidR="002C3225">
        <w:rPr>
          <w:szCs w:val="28"/>
        </w:rPr>
        <w:t xml:space="preserve"> руб..</w:t>
      </w:r>
      <w:r w:rsidR="006376E8">
        <w:rPr>
          <w:szCs w:val="28"/>
        </w:rPr>
        <w:t xml:space="preserve">Единый сельскохозяйственный налог </w:t>
      </w:r>
      <w:r w:rsidR="004F68DD">
        <w:rPr>
          <w:szCs w:val="28"/>
        </w:rPr>
        <w:t>7734,09</w:t>
      </w:r>
      <w:r w:rsidR="002C3225">
        <w:rPr>
          <w:szCs w:val="28"/>
        </w:rPr>
        <w:t xml:space="preserve"> </w:t>
      </w:r>
      <w:r w:rsidR="006376E8">
        <w:rPr>
          <w:szCs w:val="28"/>
        </w:rPr>
        <w:t>руб.</w:t>
      </w:r>
      <w:r w:rsidR="006E7234">
        <w:rPr>
          <w:szCs w:val="28"/>
        </w:rPr>
        <w:t>,</w:t>
      </w:r>
      <w:r w:rsidRPr="00913736">
        <w:rPr>
          <w:szCs w:val="28"/>
        </w:rPr>
        <w:t xml:space="preserve"> </w:t>
      </w:r>
      <w:r w:rsidR="004A0889">
        <w:rPr>
          <w:szCs w:val="28"/>
        </w:rPr>
        <w:t xml:space="preserve">налог на имущество </w:t>
      </w:r>
      <w:r w:rsidR="004F68DD">
        <w:rPr>
          <w:szCs w:val="28"/>
        </w:rPr>
        <w:t>118411,05</w:t>
      </w:r>
      <w:r w:rsidRPr="00913736">
        <w:rPr>
          <w:szCs w:val="28"/>
        </w:rPr>
        <w:t> руб</w:t>
      </w:r>
      <w:r w:rsidR="004A0889">
        <w:rPr>
          <w:szCs w:val="28"/>
        </w:rPr>
        <w:t>.</w:t>
      </w:r>
      <w:r w:rsidRPr="00913736">
        <w:rPr>
          <w:szCs w:val="28"/>
        </w:rPr>
        <w:t xml:space="preserve"> Бюджетные назначения 20</w:t>
      </w:r>
      <w:r w:rsidR="006C2702">
        <w:rPr>
          <w:szCs w:val="28"/>
        </w:rPr>
        <w:t>2</w:t>
      </w:r>
      <w:r w:rsidR="00581A29">
        <w:rPr>
          <w:szCs w:val="28"/>
        </w:rPr>
        <w:t>3</w:t>
      </w:r>
      <w:r w:rsidRPr="00913736">
        <w:rPr>
          <w:szCs w:val="28"/>
        </w:rPr>
        <w:t xml:space="preserve"> г. по ним исполнены на </w:t>
      </w:r>
      <w:r w:rsidR="004F68DD">
        <w:rPr>
          <w:szCs w:val="28"/>
        </w:rPr>
        <w:t>30,42</w:t>
      </w:r>
      <w:r w:rsidR="002C3225">
        <w:rPr>
          <w:szCs w:val="28"/>
        </w:rPr>
        <w:t xml:space="preserve">%; </w:t>
      </w:r>
      <w:r w:rsidR="004F68DD">
        <w:rPr>
          <w:szCs w:val="28"/>
        </w:rPr>
        <w:t>27,65</w:t>
      </w:r>
      <w:r w:rsidR="002C3225">
        <w:rPr>
          <w:szCs w:val="28"/>
        </w:rPr>
        <w:t xml:space="preserve">%; </w:t>
      </w:r>
      <w:r w:rsidR="004F68DD">
        <w:rPr>
          <w:szCs w:val="28"/>
        </w:rPr>
        <w:t>10,67</w:t>
      </w:r>
      <w:r w:rsidR="002C3225">
        <w:rPr>
          <w:szCs w:val="28"/>
        </w:rPr>
        <w:t xml:space="preserve">%; </w:t>
      </w:r>
      <w:r w:rsidR="004F68DD">
        <w:rPr>
          <w:szCs w:val="28"/>
        </w:rPr>
        <w:t>39,87</w:t>
      </w:r>
      <w:r w:rsidR="002C3225">
        <w:rPr>
          <w:szCs w:val="28"/>
        </w:rPr>
        <w:t>%</w:t>
      </w:r>
      <w:r w:rsidRPr="00913736">
        <w:rPr>
          <w:szCs w:val="28"/>
        </w:rPr>
        <w:t xml:space="preserve"> соответственно.</w:t>
      </w:r>
      <w:proofErr w:type="gramEnd"/>
    </w:p>
    <w:p w:rsidR="00BB1205" w:rsidRPr="00913736" w:rsidRDefault="00BB1205" w:rsidP="00913736">
      <w:pPr>
        <w:pStyle w:val="a3"/>
        <w:spacing w:line="276" w:lineRule="auto"/>
        <w:ind w:left="0"/>
        <w:jc w:val="both"/>
        <w:rPr>
          <w:b/>
          <w:szCs w:val="28"/>
        </w:rPr>
      </w:pPr>
    </w:p>
    <w:p w:rsidR="00913736" w:rsidRPr="00913736" w:rsidRDefault="00913736" w:rsidP="00913736">
      <w:pPr>
        <w:pStyle w:val="a3"/>
        <w:spacing w:line="276" w:lineRule="auto"/>
        <w:ind w:left="0"/>
        <w:jc w:val="center"/>
        <w:rPr>
          <w:b/>
          <w:szCs w:val="28"/>
        </w:rPr>
      </w:pPr>
      <w:r w:rsidRPr="00913736">
        <w:rPr>
          <w:b/>
          <w:szCs w:val="28"/>
        </w:rPr>
        <w:t>Исполнение по налогам и сборам к уточненным назначениям характеризуется следующими данными:</w:t>
      </w:r>
    </w:p>
    <w:p w:rsidR="00913736" w:rsidRPr="00913736" w:rsidRDefault="00913736" w:rsidP="00913736">
      <w:pPr>
        <w:pStyle w:val="a3"/>
        <w:spacing w:line="276" w:lineRule="auto"/>
        <w:jc w:val="both"/>
        <w:rPr>
          <w:szCs w:val="28"/>
        </w:rPr>
      </w:pPr>
      <w:r w:rsidRPr="00913736">
        <w:rPr>
          <w:szCs w:val="28"/>
        </w:rPr>
        <w:t xml:space="preserve">                                                                                                              </w:t>
      </w:r>
    </w:p>
    <w:tbl>
      <w:tblPr>
        <w:tblW w:w="493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7"/>
        <w:gridCol w:w="1719"/>
        <w:gridCol w:w="1719"/>
        <w:gridCol w:w="1312"/>
      </w:tblGrid>
      <w:tr w:rsidR="009B4FE3" w:rsidRPr="00913736" w:rsidTr="009B4FE3">
        <w:tc>
          <w:tcPr>
            <w:tcW w:w="2657" w:type="pct"/>
            <w:shd w:val="clear" w:color="auto" w:fill="auto"/>
          </w:tcPr>
          <w:p w:rsidR="009B4FE3" w:rsidRPr="00913736" w:rsidRDefault="009B4FE3" w:rsidP="00563F97">
            <w:pPr>
              <w:pStyle w:val="2"/>
              <w:spacing w:line="276" w:lineRule="auto"/>
              <w:jc w:val="both"/>
              <w:rPr>
                <w:sz w:val="20"/>
                <w:szCs w:val="20"/>
              </w:rPr>
            </w:pPr>
            <w:r w:rsidRPr="00913736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848" w:type="pct"/>
          </w:tcPr>
          <w:p w:rsidR="009B4FE3" w:rsidRPr="00913736" w:rsidRDefault="009B4FE3" w:rsidP="002F2E0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Поступление за 1 кв. 2024 год</w:t>
            </w:r>
          </w:p>
        </w:tc>
        <w:tc>
          <w:tcPr>
            <w:tcW w:w="848" w:type="pct"/>
          </w:tcPr>
          <w:p w:rsidR="009B4FE3" w:rsidRPr="00913736" w:rsidRDefault="009B4FE3" w:rsidP="0078113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13736">
              <w:rPr>
                <w:b/>
                <w:bCs/>
                <w:sz w:val="20"/>
                <w:szCs w:val="20"/>
              </w:rPr>
              <w:t xml:space="preserve">Поступления за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913736">
              <w:rPr>
                <w:b/>
                <w:bCs/>
                <w:sz w:val="20"/>
                <w:szCs w:val="20"/>
              </w:rPr>
              <w:t xml:space="preserve"> кв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913736">
              <w:rPr>
                <w:b/>
                <w:bCs/>
                <w:sz w:val="20"/>
                <w:szCs w:val="20"/>
              </w:rPr>
              <w:t xml:space="preserve"> 20</w:t>
            </w:r>
            <w:r>
              <w:rPr>
                <w:b/>
                <w:bCs/>
                <w:sz w:val="20"/>
                <w:szCs w:val="20"/>
              </w:rPr>
              <w:t>23</w:t>
            </w:r>
            <w:r w:rsidRPr="00913736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647" w:type="pct"/>
          </w:tcPr>
          <w:p w:rsidR="009B4FE3" w:rsidRPr="00913736" w:rsidRDefault="009B4FE3" w:rsidP="000571E6">
            <w:pPr>
              <w:rPr>
                <w:b/>
                <w:bCs/>
                <w:sz w:val="20"/>
                <w:szCs w:val="20"/>
              </w:rPr>
            </w:pPr>
            <w:r w:rsidRPr="00913736">
              <w:rPr>
                <w:b/>
                <w:bCs/>
                <w:sz w:val="20"/>
                <w:szCs w:val="20"/>
              </w:rPr>
              <w:t>% откл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913736">
              <w:rPr>
                <w:b/>
                <w:bCs/>
                <w:sz w:val="20"/>
                <w:szCs w:val="20"/>
              </w:rPr>
              <w:t>нения</w:t>
            </w:r>
          </w:p>
        </w:tc>
      </w:tr>
      <w:tr w:rsidR="009B4FE3" w:rsidRPr="00913736" w:rsidTr="009B4FE3">
        <w:tc>
          <w:tcPr>
            <w:tcW w:w="2657" w:type="pct"/>
            <w:shd w:val="clear" w:color="auto" w:fill="auto"/>
          </w:tcPr>
          <w:p w:rsidR="009B4FE3" w:rsidRPr="00913736" w:rsidRDefault="009B4FE3" w:rsidP="00563F97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913736">
              <w:rPr>
                <w:b/>
                <w:i/>
                <w:sz w:val="28"/>
                <w:szCs w:val="28"/>
              </w:rPr>
              <w:t xml:space="preserve">Всего </w:t>
            </w:r>
            <w:proofErr w:type="gramStart"/>
            <w:r w:rsidRPr="00913736">
              <w:rPr>
                <w:b/>
                <w:i/>
                <w:sz w:val="28"/>
                <w:szCs w:val="28"/>
              </w:rPr>
              <w:t>налоговые</w:t>
            </w:r>
            <w:proofErr w:type="gramEnd"/>
            <w:r w:rsidRPr="00913736">
              <w:rPr>
                <w:b/>
                <w:i/>
                <w:sz w:val="28"/>
                <w:szCs w:val="28"/>
              </w:rPr>
              <w:t xml:space="preserve"> и неналоговые</w:t>
            </w:r>
          </w:p>
        </w:tc>
        <w:tc>
          <w:tcPr>
            <w:tcW w:w="848" w:type="pct"/>
          </w:tcPr>
          <w:p w:rsidR="009B4FE3" w:rsidRDefault="009F4797" w:rsidP="002F2E0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358418,03</w:t>
            </w:r>
          </w:p>
        </w:tc>
        <w:tc>
          <w:tcPr>
            <w:tcW w:w="848" w:type="pct"/>
          </w:tcPr>
          <w:p w:rsidR="009B4FE3" w:rsidRDefault="009B4FE3" w:rsidP="001B6E9A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220328,53</w:t>
            </w:r>
          </w:p>
        </w:tc>
        <w:tc>
          <w:tcPr>
            <w:tcW w:w="647" w:type="pct"/>
          </w:tcPr>
          <w:p w:rsidR="009B4FE3" w:rsidRPr="00913736" w:rsidRDefault="009B4FE3" w:rsidP="00563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178,1</w:t>
            </w:r>
          </w:p>
        </w:tc>
      </w:tr>
      <w:tr w:rsidR="009B4FE3" w:rsidRPr="00913736" w:rsidTr="009B4FE3">
        <w:tc>
          <w:tcPr>
            <w:tcW w:w="2657" w:type="pct"/>
            <w:shd w:val="clear" w:color="auto" w:fill="auto"/>
          </w:tcPr>
          <w:p w:rsidR="009B4FE3" w:rsidRPr="00913736" w:rsidRDefault="009B4FE3" w:rsidP="00563F9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13736">
              <w:rPr>
                <w:b/>
                <w:sz w:val="28"/>
                <w:szCs w:val="28"/>
              </w:rPr>
              <w:t>Налоговые в т.ч.</w:t>
            </w:r>
          </w:p>
        </w:tc>
        <w:tc>
          <w:tcPr>
            <w:tcW w:w="848" w:type="pct"/>
          </w:tcPr>
          <w:p w:rsidR="009B4FE3" w:rsidRDefault="009F4797" w:rsidP="002F2E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292600,11</w:t>
            </w:r>
          </w:p>
        </w:tc>
        <w:tc>
          <w:tcPr>
            <w:tcW w:w="848" w:type="pct"/>
          </w:tcPr>
          <w:p w:rsidR="009B4FE3" w:rsidRDefault="009B4FE3" w:rsidP="001B6E9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217152,52</w:t>
            </w:r>
          </w:p>
        </w:tc>
        <w:tc>
          <w:tcPr>
            <w:tcW w:w="647" w:type="pct"/>
          </w:tcPr>
          <w:p w:rsidR="009B4FE3" w:rsidRPr="00913736" w:rsidRDefault="009B4FE3" w:rsidP="00563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104,9</w:t>
            </w:r>
          </w:p>
        </w:tc>
      </w:tr>
      <w:tr w:rsidR="009B4FE3" w:rsidRPr="00913736" w:rsidTr="009B4FE3">
        <w:tc>
          <w:tcPr>
            <w:tcW w:w="2657" w:type="pct"/>
            <w:shd w:val="clear" w:color="auto" w:fill="auto"/>
          </w:tcPr>
          <w:p w:rsidR="009B4FE3" w:rsidRPr="00913736" w:rsidRDefault="009B4FE3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3736">
              <w:rPr>
                <w:sz w:val="28"/>
                <w:szCs w:val="28"/>
              </w:rPr>
              <w:t xml:space="preserve"> - налог на доходы физических лиц</w:t>
            </w:r>
          </w:p>
        </w:tc>
        <w:tc>
          <w:tcPr>
            <w:tcW w:w="848" w:type="pct"/>
          </w:tcPr>
          <w:p w:rsidR="009B4FE3" w:rsidRDefault="009F4797" w:rsidP="002F2E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36802,34</w:t>
            </w:r>
          </w:p>
        </w:tc>
        <w:tc>
          <w:tcPr>
            <w:tcW w:w="848" w:type="pct"/>
          </w:tcPr>
          <w:p w:rsidR="009B4FE3" w:rsidRDefault="009B4FE3" w:rsidP="00563F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50126,88</w:t>
            </w:r>
          </w:p>
        </w:tc>
        <w:tc>
          <w:tcPr>
            <w:tcW w:w="647" w:type="pct"/>
          </w:tcPr>
          <w:p w:rsidR="009B4FE3" w:rsidRPr="00913736" w:rsidRDefault="009B4FE3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55,3</w:t>
            </w:r>
          </w:p>
        </w:tc>
      </w:tr>
      <w:tr w:rsidR="009B4FE3" w:rsidRPr="00913736" w:rsidTr="009B4FE3">
        <w:tc>
          <w:tcPr>
            <w:tcW w:w="2657" w:type="pct"/>
            <w:shd w:val="clear" w:color="auto" w:fill="auto"/>
          </w:tcPr>
          <w:p w:rsidR="009B4FE3" w:rsidRPr="00913736" w:rsidRDefault="009B4FE3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3736">
              <w:rPr>
                <w:sz w:val="28"/>
                <w:szCs w:val="28"/>
              </w:rPr>
              <w:t xml:space="preserve"> -  </w:t>
            </w:r>
            <w:r w:rsidRPr="00913736">
              <w:rPr>
                <w:rFonts w:asciiTheme="majorHAnsi" w:hAnsiTheme="majorHAnsi"/>
                <w:sz w:val="20"/>
                <w:szCs w:val="20"/>
              </w:rPr>
              <w:t>АКЦИЗЫ</w:t>
            </w:r>
          </w:p>
        </w:tc>
        <w:tc>
          <w:tcPr>
            <w:tcW w:w="848" w:type="pct"/>
          </w:tcPr>
          <w:p w:rsidR="009B4FE3" w:rsidRDefault="009F4797" w:rsidP="002F2E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129652,63</w:t>
            </w:r>
          </w:p>
        </w:tc>
        <w:tc>
          <w:tcPr>
            <w:tcW w:w="848" w:type="pct"/>
          </w:tcPr>
          <w:p w:rsidR="009B4FE3" w:rsidRDefault="009B4FE3" w:rsidP="00563F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118564,98</w:t>
            </w:r>
          </w:p>
        </w:tc>
        <w:tc>
          <w:tcPr>
            <w:tcW w:w="647" w:type="pct"/>
          </w:tcPr>
          <w:p w:rsidR="009B4FE3" w:rsidRPr="00913736" w:rsidRDefault="009B4FE3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92,07</w:t>
            </w:r>
          </w:p>
        </w:tc>
      </w:tr>
      <w:tr w:rsidR="009B4FE3" w:rsidRPr="00913736" w:rsidTr="009B4FE3">
        <w:tc>
          <w:tcPr>
            <w:tcW w:w="2657" w:type="pct"/>
            <w:shd w:val="clear" w:color="auto" w:fill="auto"/>
          </w:tcPr>
          <w:p w:rsidR="009B4FE3" w:rsidRPr="00913736" w:rsidRDefault="009B4FE3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3736">
              <w:rPr>
                <w:sz w:val="28"/>
                <w:szCs w:val="28"/>
              </w:rPr>
              <w:t xml:space="preserve"> - единый сельскохозяйственный  налог</w:t>
            </w:r>
          </w:p>
        </w:tc>
        <w:tc>
          <w:tcPr>
            <w:tcW w:w="848" w:type="pct"/>
          </w:tcPr>
          <w:p w:rsidR="009B4FE3" w:rsidRDefault="009F4797" w:rsidP="002F2E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7734,09</w:t>
            </w:r>
          </w:p>
        </w:tc>
        <w:tc>
          <w:tcPr>
            <w:tcW w:w="848" w:type="pct"/>
          </w:tcPr>
          <w:p w:rsidR="009B4FE3" w:rsidRDefault="009B4FE3" w:rsidP="00AD4D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18822,90</w:t>
            </w:r>
          </w:p>
        </w:tc>
        <w:tc>
          <w:tcPr>
            <w:tcW w:w="647" w:type="pct"/>
          </w:tcPr>
          <w:p w:rsidR="009B4FE3" w:rsidRPr="00913736" w:rsidRDefault="009B4FE3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380,6</w:t>
            </w:r>
          </w:p>
        </w:tc>
      </w:tr>
      <w:tr w:rsidR="009B4FE3" w:rsidRPr="00913736" w:rsidTr="009B4FE3">
        <w:tc>
          <w:tcPr>
            <w:tcW w:w="2657" w:type="pct"/>
            <w:shd w:val="clear" w:color="auto" w:fill="auto"/>
          </w:tcPr>
          <w:p w:rsidR="009B4FE3" w:rsidRPr="00913736" w:rsidRDefault="009B4FE3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налог на имущество физических лиц </w:t>
            </w:r>
          </w:p>
        </w:tc>
        <w:tc>
          <w:tcPr>
            <w:tcW w:w="848" w:type="pct"/>
          </w:tcPr>
          <w:p w:rsidR="009B4FE3" w:rsidRDefault="009F4797" w:rsidP="002F2E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9709,73</w:t>
            </w:r>
          </w:p>
        </w:tc>
        <w:tc>
          <w:tcPr>
            <w:tcW w:w="848" w:type="pct"/>
          </w:tcPr>
          <w:p w:rsidR="009B4FE3" w:rsidRDefault="009B4FE3" w:rsidP="00AD4D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352,71</w:t>
            </w:r>
          </w:p>
        </w:tc>
        <w:tc>
          <w:tcPr>
            <w:tcW w:w="647" w:type="pct"/>
          </w:tcPr>
          <w:p w:rsidR="009B4FE3" w:rsidRPr="00913736" w:rsidRDefault="009B4FE3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339,3</w:t>
            </w:r>
          </w:p>
        </w:tc>
      </w:tr>
      <w:tr w:rsidR="009B4FE3" w:rsidRPr="00913736" w:rsidTr="009B4FE3">
        <w:tc>
          <w:tcPr>
            <w:tcW w:w="2657" w:type="pct"/>
            <w:shd w:val="clear" w:color="auto" w:fill="auto"/>
          </w:tcPr>
          <w:p w:rsidR="009B4FE3" w:rsidRDefault="009B4FE3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земельный налог</w:t>
            </w:r>
          </w:p>
        </w:tc>
        <w:tc>
          <w:tcPr>
            <w:tcW w:w="848" w:type="pct"/>
          </w:tcPr>
          <w:p w:rsidR="009B4FE3" w:rsidRDefault="009F4797" w:rsidP="002F2E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108701,32</w:t>
            </w:r>
          </w:p>
        </w:tc>
        <w:tc>
          <w:tcPr>
            <w:tcW w:w="848" w:type="pct"/>
          </w:tcPr>
          <w:p w:rsidR="009B4FE3" w:rsidRDefault="009B4FE3" w:rsidP="00AD4D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29285,05</w:t>
            </w:r>
          </w:p>
        </w:tc>
        <w:tc>
          <w:tcPr>
            <w:tcW w:w="647" w:type="pct"/>
          </w:tcPr>
          <w:p w:rsidR="009B4FE3" w:rsidRPr="00913736" w:rsidRDefault="009B4FE3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65,5</w:t>
            </w:r>
          </w:p>
        </w:tc>
      </w:tr>
      <w:tr w:rsidR="009B4FE3" w:rsidRPr="00913736" w:rsidTr="009B4FE3">
        <w:tc>
          <w:tcPr>
            <w:tcW w:w="2657" w:type="pct"/>
            <w:shd w:val="clear" w:color="auto" w:fill="auto"/>
          </w:tcPr>
          <w:p w:rsidR="009B4FE3" w:rsidRPr="00913736" w:rsidRDefault="009B4FE3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3736">
              <w:rPr>
                <w:sz w:val="28"/>
                <w:szCs w:val="28"/>
              </w:rPr>
              <w:t xml:space="preserve"> - государственная пошлина</w:t>
            </w:r>
          </w:p>
        </w:tc>
        <w:tc>
          <w:tcPr>
            <w:tcW w:w="848" w:type="pct"/>
          </w:tcPr>
          <w:p w:rsidR="009B4FE3" w:rsidRPr="00913736" w:rsidRDefault="009B4FE3" w:rsidP="002F2E0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pct"/>
          </w:tcPr>
          <w:p w:rsidR="009B4FE3" w:rsidRPr="00913736" w:rsidRDefault="009B4FE3" w:rsidP="00563F9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pct"/>
          </w:tcPr>
          <w:p w:rsidR="009B4FE3" w:rsidRPr="00913736" w:rsidRDefault="009B4FE3" w:rsidP="00563F97">
            <w:pPr>
              <w:rPr>
                <w:sz w:val="28"/>
                <w:szCs w:val="28"/>
              </w:rPr>
            </w:pPr>
          </w:p>
        </w:tc>
      </w:tr>
      <w:tr w:rsidR="009B4FE3" w:rsidRPr="00913736" w:rsidTr="009B4FE3">
        <w:tc>
          <w:tcPr>
            <w:tcW w:w="2657" w:type="pct"/>
            <w:shd w:val="clear" w:color="auto" w:fill="auto"/>
          </w:tcPr>
          <w:p w:rsidR="009B4FE3" w:rsidRPr="00913736" w:rsidRDefault="009B4FE3" w:rsidP="00563F9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13736">
              <w:rPr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848" w:type="pct"/>
          </w:tcPr>
          <w:p w:rsidR="009B4FE3" w:rsidRDefault="009F4797" w:rsidP="002F2E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65817,92</w:t>
            </w:r>
          </w:p>
        </w:tc>
        <w:tc>
          <w:tcPr>
            <w:tcW w:w="848" w:type="pct"/>
          </w:tcPr>
          <w:p w:rsidR="009B4FE3" w:rsidRDefault="009B4FE3" w:rsidP="00563F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3176,01</w:t>
            </w:r>
          </w:p>
        </w:tc>
        <w:tc>
          <w:tcPr>
            <w:tcW w:w="647" w:type="pct"/>
          </w:tcPr>
          <w:p w:rsidR="009B4FE3" w:rsidRPr="00913736" w:rsidRDefault="009B4FE3" w:rsidP="00563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5181,6</w:t>
            </w:r>
          </w:p>
        </w:tc>
      </w:tr>
      <w:tr w:rsidR="009B4FE3" w:rsidRPr="00913736" w:rsidTr="009B4FE3">
        <w:tc>
          <w:tcPr>
            <w:tcW w:w="2657" w:type="pct"/>
            <w:shd w:val="clear" w:color="auto" w:fill="auto"/>
          </w:tcPr>
          <w:p w:rsidR="009B4FE3" w:rsidRPr="00913736" w:rsidRDefault="009B4FE3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3736">
              <w:rPr>
                <w:sz w:val="28"/>
                <w:szCs w:val="28"/>
              </w:rPr>
              <w:t xml:space="preserve"> - доходы от использования имущества</w:t>
            </w:r>
          </w:p>
        </w:tc>
        <w:tc>
          <w:tcPr>
            <w:tcW w:w="848" w:type="pct"/>
          </w:tcPr>
          <w:p w:rsidR="009B4FE3" w:rsidRDefault="009F4797" w:rsidP="002F2E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4600,26</w:t>
            </w:r>
          </w:p>
        </w:tc>
        <w:tc>
          <w:tcPr>
            <w:tcW w:w="848" w:type="pct"/>
          </w:tcPr>
          <w:p w:rsidR="009B4FE3" w:rsidRDefault="009B4FE3" w:rsidP="00563F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3176,01</w:t>
            </w:r>
          </w:p>
        </w:tc>
        <w:tc>
          <w:tcPr>
            <w:tcW w:w="647" w:type="pct"/>
          </w:tcPr>
          <w:p w:rsidR="009B4FE3" w:rsidRPr="00913736" w:rsidRDefault="009B4FE3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B4FE3" w:rsidRPr="00913736" w:rsidTr="009B4FE3">
        <w:tc>
          <w:tcPr>
            <w:tcW w:w="2657" w:type="pct"/>
            <w:shd w:val="clear" w:color="auto" w:fill="auto"/>
          </w:tcPr>
          <w:p w:rsidR="009B4FE3" w:rsidRPr="00913736" w:rsidRDefault="009B4FE3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доходы от оказания платных услуг </w:t>
            </w:r>
          </w:p>
        </w:tc>
        <w:tc>
          <w:tcPr>
            <w:tcW w:w="848" w:type="pct"/>
          </w:tcPr>
          <w:p w:rsidR="009B4FE3" w:rsidRDefault="009F4797" w:rsidP="002F2E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61217,66</w:t>
            </w:r>
          </w:p>
        </w:tc>
        <w:tc>
          <w:tcPr>
            <w:tcW w:w="848" w:type="pct"/>
          </w:tcPr>
          <w:p w:rsidR="009B4FE3" w:rsidRDefault="009B4FE3" w:rsidP="00563F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7" w:type="pct"/>
          </w:tcPr>
          <w:p w:rsidR="009B4FE3" w:rsidRPr="00913736" w:rsidRDefault="009B4FE3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B4FE3" w:rsidRPr="00913736" w:rsidTr="009B4FE3">
        <w:tc>
          <w:tcPr>
            <w:tcW w:w="2657" w:type="pct"/>
            <w:shd w:val="clear" w:color="auto" w:fill="auto"/>
          </w:tcPr>
          <w:p w:rsidR="009B4FE3" w:rsidRDefault="009B4FE3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Прочие неналоговые доходы</w:t>
            </w:r>
          </w:p>
        </w:tc>
        <w:tc>
          <w:tcPr>
            <w:tcW w:w="848" w:type="pct"/>
          </w:tcPr>
          <w:p w:rsidR="009B4FE3" w:rsidRDefault="009F4797" w:rsidP="002F2E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8" w:type="pct"/>
          </w:tcPr>
          <w:p w:rsidR="009B4FE3" w:rsidRDefault="009B4FE3" w:rsidP="00563F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7" w:type="pct"/>
          </w:tcPr>
          <w:p w:rsidR="009B4FE3" w:rsidRPr="00913736" w:rsidRDefault="009B4FE3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C5200" w:rsidRPr="00913736" w:rsidRDefault="00CC5200" w:rsidP="00934491">
      <w:pPr>
        <w:ind w:firstLine="851"/>
        <w:jc w:val="both"/>
        <w:rPr>
          <w:sz w:val="28"/>
          <w:szCs w:val="28"/>
        </w:rPr>
      </w:pPr>
    </w:p>
    <w:p w:rsidR="00934491" w:rsidRPr="00913736" w:rsidRDefault="007848EC" w:rsidP="00934491">
      <w:pPr>
        <w:ind w:firstLine="851"/>
        <w:jc w:val="both"/>
        <w:rPr>
          <w:sz w:val="28"/>
          <w:szCs w:val="28"/>
        </w:rPr>
      </w:pPr>
      <w:r w:rsidRPr="00913736">
        <w:rPr>
          <w:sz w:val="28"/>
          <w:szCs w:val="28"/>
        </w:rPr>
        <w:t xml:space="preserve">Поступление безвозмездных перечислений </w:t>
      </w:r>
      <w:r w:rsidR="00734EA3" w:rsidRPr="00913736">
        <w:rPr>
          <w:sz w:val="28"/>
          <w:szCs w:val="28"/>
        </w:rPr>
        <w:t>от других бюджетов бюджетной системы РФ</w:t>
      </w:r>
      <w:r w:rsidR="00934491" w:rsidRPr="00913736">
        <w:t xml:space="preserve"> </w:t>
      </w:r>
      <w:r w:rsidR="00934491" w:rsidRPr="00913736">
        <w:rPr>
          <w:sz w:val="28"/>
          <w:szCs w:val="28"/>
        </w:rPr>
        <w:t xml:space="preserve">за </w:t>
      </w:r>
      <w:r w:rsidR="00BD11BF">
        <w:rPr>
          <w:sz w:val="28"/>
          <w:szCs w:val="28"/>
        </w:rPr>
        <w:t>1</w:t>
      </w:r>
      <w:r w:rsidR="00934491" w:rsidRPr="00913736">
        <w:rPr>
          <w:sz w:val="28"/>
          <w:szCs w:val="28"/>
        </w:rPr>
        <w:t xml:space="preserve"> </w:t>
      </w:r>
      <w:r w:rsidR="008E00E6" w:rsidRPr="00913736">
        <w:rPr>
          <w:sz w:val="28"/>
          <w:szCs w:val="28"/>
        </w:rPr>
        <w:t>квартал</w:t>
      </w:r>
      <w:r w:rsidR="00934491" w:rsidRPr="00913736">
        <w:rPr>
          <w:sz w:val="28"/>
          <w:szCs w:val="28"/>
        </w:rPr>
        <w:t xml:space="preserve"> 20</w:t>
      </w:r>
      <w:r w:rsidR="006C2702">
        <w:rPr>
          <w:sz w:val="28"/>
          <w:szCs w:val="28"/>
        </w:rPr>
        <w:t>2</w:t>
      </w:r>
      <w:r w:rsidR="009F4797">
        <w:rPr>
          <w:sz w:val="28"/>
          <w:szCs w:val="28"/>
        </w:rPr>
        <w:t>4</w:t>
      </w:r>
      <w:r w:rsidR="00BD11BF">
        <w:rPr>
          <w:sz w:val="28"/>
          <w:szCs w:val="28"/>
        </w:rPr>
        <w:t xml:space="preserve"> </w:t>
      </w:r>
      <w:r w:rsidR="00934491" w:rsidRPr="00913736">
        <w:rPr>
          <w:sz w:val="28"/>
          <w:szCs w:val="28"/>
        </w:rPr>
        <w:t>г</w:t>
      </w:r>
      <w:r w:rsidR="00952F62" w:rsidRPr="00913736">
        <w:rPr>
          <w:sz w:val="28"/>
          <w:szCs w:val="28"/>
        </w:rPr>
        <w:t>.</w:t>
      </w:r>
      <w:r w:rsidRPr="00913736">
        <w:rPr>
          <w:sz w:val="28"/>
          <w:szCs w:val="28"/>
        </w:rPr>
        <w:t xml:space="preserve"> составило </w:t>
      </w:r>
      <w:r w:rsidR="009F4797">
        <w:rPr>
          <w:sz w:val="28"/>
          <w:szCs w:val="28"/>
        </w:rPr>
        <w:t>179457,85</w:t>
      </w:r>
      <w:r w:rsidR="00E325B5">
        <w:rPr>
          <w:sz w:val="28"/>
          <w:szCs w:val="28"/>
        </w:rPr>
        <w:t xml:space="preserve"> </w:t>
      </w:r>
      <w:r w:rsidR="00734EA3" w:rsidRPr="00913736">
        <w:rPr>
          <w:sz w:val="28"/>
          <w:szCs w:val="28"/>
        </w:rPr>
        <w:t>рублей</w:t>
      </w:r>
      <w:r w:rsidRPr="00913736">
        <w:rPr>
          <w:sz w:val="28"/>
          <w:szCs w:val="28"/>
        </w:rPr>
        <w:t>, или</w:t>
      </w:r>
      <w:r w:rsidR="006877FC" w:rsidRPr="00913736">
        <w:rPr>
          <w:sz w:val="28"/>
          <w:szCs w:val="28"/>
        </w:rPr>
        <w:t xml:space="preserve"> </w:t>
      </w:r>
      <w:r w:rsidR="009F4797">
        <w:rPr>
          <w:sz w:val="28"/>
          <w:szCs w:val="28"/>
        </w:rPr>
        <w:t>7,54</w:t>
      </w:r>
      <w:r w:rsidR="0069487F">
        <w:rPr>
          <w:sz w:val="28"/>
          <w:szCs w:val="28"/>
        </w:rPr>
        <w:t>%</w:t>
      </w:r>
      <w:r w:rsidR="006877FC" w:rsidRPr="00913736">
        <w:rPr>
          <w:sz w:val="28"/>
          <w:szCs w:val="28"/>
        </w:rPr>
        <w:t xml:space="preserve"> к назначениям года, </w:t>
      </w:r>
      <w:r w:rsidR="009F4797">
        <w:rPr>
          <w:sz w:val="28"/>
          <w:szCs w:val="28"/>
        </w:rPr>
        <w:t>87,1</w:t>
      </w:r>
      <w:r w:rsidR="00E75810">
        <w:rPr>
          <w:sz w:val="28"/>
          <w:szCs w:val="28"/>
        </w:rPr>
        <w:t xml:space="preserve"> </w:t>
      </w:r>
      <w:r w:rsidR="006877FC" w:rsidRPr="00913736">
        <w:rPr>
          <w:sz w:val="28"/>
          <w:szCs w:val="28"/>
        </w:rPr>
        <w:t>% к уровню 20</w:t>
      </w:r>
      <w:r w:rsidR="00254BCE">
        <w:rPr>
          <w:sz w:val="28"/>
          <w:szCs w:val="28"/>
        </w:rPr>
        <w:t>2</w:t>
      </w:r>
      <w:r w:rsidR="009F4797">
        <w:rPr>
          <w:sz w:val="28"/>
          <w:szCs w:val="28"/>
        </w:rPr>
        <w:t>3</w:t>
      </w:r>
      <w:r w:rsidR="00BD11BF">
        <w:rPr>
          <w:sz w:val="28"/>
          <w:szCs w:val="28"/>
        </w:rPr>
        <w:t xml:space="preserve"> </w:t>
      </w:r>
      <w:r w:rsidR="006877FC" w:rsidRPr="00913736">
        <w:rPr>
          <w:sz w:val="28"/>
          <w:szCs w:val="28"/>
        </w:rPr>
        <w:t>г.</w:t>
      </w:r>
    </w:p>
    <w:p w:rsidR="006E529D" w:rsidRDefault="006E529D" w:rsidP="006E529D">
      <w:pPr>
        <w:spacing w:line="276" w:lineRule="auto"/>
        <w:jc w:val="both"/>
        <w:rPr>
          <w:sz w:val="28"/>
          <w:szCs w:val="28"/>
        </w:rPr>
      </w:pPr>
      <w:r w:rsidRPr="00913736">
        <w:rPr>
          <w:sz w:val="28"/>
          <w:szCs w:val="28"/>
        </w:rPr>
        <w:t>Из них</w:t>
      </w:r>
    </w:p>
    <w:p w:rsidR="009D08A5" w:rsidRDefault="00EF7BDA" w:rsidP="00EF7BDA">
      <w:pPr>
        <w:spacing w:line="276" w:lineRule="auto"/>
        <w:jc w:val="both"/>
        <w:rPr>
          <w:sz w:val="28"/>
          <w:szCs w:val="28"/>
        </w:rPr>
      </w:pPr>
      <w:r w:rsidRPr="00913736">
        <w:rPr>
          <w:sz w:val="28"/>
          <w:szCs w:val="28"/>
        </w:rPr>
        <w:lastRenderedPageBreak/>
        <w:t xml:space="preserve">- </w:t>
      </w:r>
      <w:r w:rsidRPr="00913736">
        <w:rPr>
          <w:color w:val="000000"/>
          <w:sz w:val="28"/>
          <w:szCs w:val="28"/>
        </w:rPr>
        <w:t xml:space="preserve">дотации </w:t>
      </w:r>
      <w:r>
        <w:rPr>
          <w:color w:val="000000"/>
          <w:sz w:val="28"/>
          <w:szCs w:val="28"/>
        </w:rPr>
        <w:t>на выравнивание бюджетной обеспеченности</w:t>
      </w:r>
      <w:r w:rsidRPr="00913736">
        <w:rPr>
          <w:color w:val="000000"/>
          <w:sz w:val="28"/>
          <w:szCs w:val="28"/>
        </w:rPr>
        <w:t xml:space="preserve"> </w:t>
      </w:r>
      <w:r w:rsidR="00821D5F">
        <w:rPr>
          <w:color w:val="000000"/>
          <w:sz w:val="28"/>
          <w:szCs w:val="28"/>
        </w:rPr>
        <w:t>159400,00</w:t>
      </w:r>
      <w:r w:rsidR="00D0177D">
        <w:rPr>
          <w:color w:val="000000"/>
          <w:sz w:val="28"/>
          <w:szCs w:val="28"/>
        </w:rPr>
        <w:t xml:space="preserve"> </w:t>
      </w:r>
      <w:r w:rsidRPr="00913736">
        <w:rPr>
          <w:color w:val="000000"/>
          <w:sz w:val="28"/>
          <w:szCs w:val="28"/>
        </w:rPr>
        <w:t>руб.</w:t>
      </w:r>
      <w:r w:rsidRPr="00C22DA3">
        <w:rPr>
          <w:sz w:val="28"/>
          <w:szCs w:val="28"/>
        </w:rPr>
        <w:t xml:space="preserve"> </w:t>
      </w:r>
    </w:p>
    <w:p w:rsidR="00614EE4" w:rsidRPr="009D08A5" w:rsidRDefault="00EF7BDA" w:rsidP="00EF7BD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бюджетам поселений на осуществление первичного воинского учета на территориях, где отсутствуют военные комиссариаты</w:t>
      </w:r>
      <w:r w:rsidRPr="00913736">
        <w:rPr>
          <w:color w:val="000000"/>
          <w:sz w:val="28"/>
          <w:szCs w:val="28"/>
        </w:rPr>
        <w:t xml:space="preserve"> </w:t>
      </w:r>
      <w:r w:rsidR="00821D5F">
        <w:rPr>
          <w:color w:val="000000"/>
          <w:sz w:val="28"/>
          <w:szCs w:val="28"/>
        </w:rPr>
        <w:t>20057,85</w:t>
      </w:r>
      <w:r w:rsidR="009D08A5">
        <w:rPr>
          <w:color w:val="000000"/>
          <w:sz w:val="28"/>
          <w:szCs w:val="28"/>
        </w:rPr>
        <w:t xml:space="preserve"> </w:t>
      </w:r>
      <w:r w:rsidRPr="00913736">
        <w:rPr>
          <w:color w:val="000000"/>
          <w:sz w:val="28"/>
          <w:szCs w:val="28"/>
        </w:rPr>
        <w:t>руб</w:t>
      </w:r>
      <w:r w:rsidR="00614EE4">
        <w:rPr>
          <w:color w:val="000000"/>
          <w:sz w:val="28"/>
          <w:szCs w:val="28"/>
        </w:rPr>
        <w:t>.</w:t>
      </w:r>
    </w:p>
    <w:p w:rsidR="006C2702" w:rsidRDefault="006C2702" w:rsidP="00EF7BDA">
      <w:pPr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8"/>
        <w:gridCol w:w="1415"/>
        <w:gridCol w:w="1703"/>
        <w:gridCol w:w="1276"/>
      </w:tblGrid>
      <w:tr w:rsidR="00CC0E2D" w:rsidTr="00614EE4">
        <w:trPr>
          <w:trHeight w:val="418"/>
        </w:trPr>
        <w:tc>
          <w:tcPr>
            <w:tcW w:w="2810" w:type="pct"/>
            <w:vMerge w:val="restart"/>
          </w:tcPr>
          <w:p w:rsidR="006877FC" w:rsidRDefault="006877FC" w:rsidP="005F6798">
            <w:pPr>
              <w:ind w:left="20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6877FC" w:rsidRDefault="006877FC" w:rsidP="005F6798">
            <w:pPr>
              <w:ind w:left="20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pct"/>
            <w:gridSpan w:val="2"/>
            <w:shd w:val="clear" w:color="auto" w:fill="auto"/>
          </w:tcPr>
          <w:p w:rsidR="006877FC" w:rsidRPr="00AE26FB" w:rsidRDefault="006C2702" w:rsidP="006D1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D1911">
              <w:rPr>
                <w:sz w:val="28"/>
                <w:szCs w:val="28"/>
              </w:rPr>
              <w:t>4</w:t>
            </w:r>
            <w:r w:rsidR="00BD11BF">
              <w:rPr>
                <w:sz w:val="28"/>
                <w:szCs w:val="28"/>
              </w:rPr>
              <w:t xml:space="preserve"> </w:t>
            </w:r>
            <w:r w:rsidR="006877FC" w:rsidRPr="00AE26FB">
              <w:rPr>
                <w:sz w:val="28"/>
                <w:szCs w:val="28"/>
              </w:rPr>
              <w:t>г</w:t>
            </w:r>
            <w:r w:rsidR="00A54894" w:rsidRPr="00AE26FB">
              <w:rPr>
                <w:sz w:val="28"/>
                <w:szCs w:val="28"/>
              </w:rPr>
              <w:t>.</w:t>
            </w:r>
          </w:p>
        </w:tc>
        <w:tc>
          <w:tcPr>
            <w:tcW w:w="636" w:type="pct"/>
            <w:vMerge w:val="restart"/>
          </w:tcPr>
          <w:p w:rsidR="006877FC" w:rsidRPr="00AE26FB" w:rsidRDefault="0097338E" w:rsidP="00E5580C">
            <w:pPr>
              <w:rPr>
                <w:b/>
                <w:sz w:val="20"/>
                <w:szCs w:val="20"/>
              </w:rPr>
            </w:pPr>
            <w:r w:rsidRPr="00AE26FB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</w:t>
            </w:r>
            <w:r w:rsidR="006877FC" w:rsidRPr="00AE26FB">
              <w:rPr>
                <w:b/>
                <w:sz w:val="20"/>
                <w:szCs w:val="20"/>
              </w:rPr>
              <w:t>к уровню 20</w:t>
            </w:r>
            <w:r w:rsidR="00C8321D">
              <w:rPr>
                <w:b/>
                <w:sz w:val="20"/>
                <w:szCs w:val="20"/>
              </w:rPr>
              <w:t>2</w:t>
            </w:r>
            <w:r w:rsidR="006D1911">
              <w:rPr>
                <w:b/>
                <w:sz w:val="20"/>
                <w:szCs w:val="20"/>
              </w:rPr>
              <w:t>3</w:t>
            </w:r>
            <w:r w:rsidR="006877FC" w:rsidRPr="00AE26FB">
              <w:rPr>
                <w:b/>
                <w:sz w:val="20"/>
                <w:szCs w:val="20"/>
              </w:rPr>
              <w:t>г.</w:t>
            </w:r>
          </w:p>
          <w:p w:rsidR="006877FC" w:rsidRDefault="006877FC" w:rsidP="00934491">
            <w:pPr>
              <w:jc w:val="center"/>
              <w:rPr>
                <w:sz w:val="28"/>
                <w:szCs w:val="28"/>
              </w:rPr>
            </w:pPr>
          </w:p>
        </w:tc>
      </w:tr>
      <w:tr w:rsidR="00CC0E2D" w:rsidTr="00614EE4">
        <w:trPr>
          <w:trHeight w:val="751"/>
        </w:trPr>
        <w:tc>
          <w:tcPr>
            <w:tcW w:w="2810" w:type="pct"/>
            <w:vMerge/>
          </w:tcPr>
          <w:p w:rsidR="006877FC" w:rsidRDefault="006877FC" w:rsidP="005F6798">
            <w:pPr>
              <w:ind w:left="20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05" w:type="pct"/>
            <w:shd w:val="clear" w:color="auto" w:fill="auto"/>
          </w:tcPr>
          <w:p w:rsidR="006877FC" w:rsidRDefault="006877FC" w:rsidP="006D1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  <w:r w:rsidR="00BD11BF">
              <w:rPr>
                <w:sz w:val="28"/>
                <w:szCs w:val="28"/>
              </w:rPr>
              <w:t>20</w:t>
            </w:r>
            <w:r w:rsidR="006C2702">
              <w:rPr>
                <w:sz w:val="28"/>
                <w:szCs w:val="28"/>
              </w:rPr>
              <w:t>2</w:t>
            </w:r>
            <w:r w:rsidR="006D1911">
              <w:rPr>
                <w:sz w:val="28"/>
                <w:szCs w:val="28"/>
              </w:rPr>
              <w:t>4</w:t>
            </w:r>
            <w:r w:rsidR="00BD11BF">
              <w:rPr>
                <w:sz w:val="28"/>
                <w:szCs w:val="28"/>
              </w:rPr>
              <w:t xml:space="preserve">г. </w:t>
            </w:r>
            <w:r w:rsidR="00D57C7E">
              <w:rPr>
                <w:sz w:val="28"/>
                <w:szCs w:val="28"/>
              </w:rPr>
              <w:t>руб.</w:t>
            </w:r>
          </w:p>
        </w:tc>
        <w:tc>
          <w:tcPr>
            <w:tcW w:w="849" w:type="pct"/>
            <w:shd w:val="clear" w:color="auto" w:fill="auto"/>
          </w:tcPr>
          <w:p w:rsidR="00C8321D" w:rsidRDefault="006877FC" w:rsidP="00C83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за </w:t>
            </w:r>
            <w:r w:rsidR="00BD11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7C4969">
              <w:rPr>
                <w:sz w:val="28"/>
                <w:szCs w:val="28"/>
              </w:rPr>
              <w:t>кв</w:t>
            </w:r>
            <w:r>
              <w:rPr>
                <w:sz w:val="28"/>
                <w:szCs w:val="28"/>
              </w:rPr>
              <w:t>.</w:t>
            </w:r>
            <w:r w:rsidR="00BD11BF">
              <w:rPr>
                <w:sz w:val="28"/>
                <w:szCs w:val="28"/>
              </w:rPr>
              <w:t xml:space="preserve"> </w:t>
            </w:r>
            <w:r w:rsidR="00C8321D">
              <w:rPr>
                <w:sz w:val="28"/>
                <w:szCs w:val="28"/>
              </w:rPr>
              <w:t xml:space="preserve"> 202</w:t>
            </w:r>
            <w:r w:rsidR="006D1911">
              <w:rPr>
                <w:sz w:val="28"/>
                <w:szCs w:val="28"/>
              </w:rPr>
              <w:t>4</w:t>
            </w:r>
            <w:r w:rsidR="006417A5">
              <w:rPr>
                <w:sz w:val="28"/>
                <w:szCs w:val="28"/>
              </w:rPr>
              <w:t xml:space="preserve"> </w:t>
            </w:r>
            <w:r w:rsidR="00C8321D">
              <w:rPr>
                <w:sz w:val="28"/>
                <w:szCs w:val="28"/>
              </w:rPr>
              <w:t xml:space="preserve">г. </w:t>
            </w:r>
          </w:p>
          <w:p w:rsidR="006877FC" w:rsidRDefault="00C8321D" w:rsidP="00C83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636" w:type="pct"/>
            <w:vMerge/>
          </w:tcPr>
          <w:p w:rsidR="006877FC" w:rsidRDefault="006877FC" w:rsidP="00E71FBF">
            <w:pPr>
              <w:jc w:val="center"/>
              <w:rPr>
                <w:sz w:val="28"/>
                <w:szCs w:val="28"/>
              </w:rPr>
            </w:pPr>
          </w:p>
        </w:tc>
      </w:tr>
      <w:tr w:rsidR="00CC0E2D" w:rsidRPr="00F16492" w:rsidTr="00614EE4">
        <w:tblPrEx>
          <w:tblLook w:val="04A0"/>
        </w:tblPrEx>
        <w:trPr>
          <w:trHeight w:val="450"/>
        </w:trPr>
        <w:tc>
          <w:tcPr>
            <w:tcW w:w="2810" w:type="pct"/>
            <w:shd w:val="clear" w:color="auto" w:fill="auto"/>
            <w:vAlign w:val="bottom"/>
            <w:hideMark/>
          </w:tcPr>
          <w:p w:rsidR="006877FC" w:rsidRPr="00F16492" w:rsidRDefault="006877FC" w:rsidP="00EF5823">
            <w:pPr>
              <w:pStyle w:val="a9"/>
            </w:pPr>
            <w:r w:rsidRPr="00F16492"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705" w:type="pct"/>
            <w:shd w:val="clear" w:color="auto" w:fill="auto"/>
          </w:tcPr>
          <w:p w:rsidR="006877FC" w:rsidRPr="00F16492" w:rsidRDefault="006D1911" w:rsidP="004C5E45">
            <w:pPr>
              <w:pStyle w:val="a9"/>
              <w:jc w:val="center"/>
            </w:pPr>
            <w:r>
              <w:t>2380300,00</w:t>
            </w:r>
          </w:p>
        </w:tc>
        <w:tc>
          <w:tcPr>
            <w:tcW w:w="849" w:type="pct"/>
            <w:shd w:val="clear" w:color="auto" w:fill="auto"/>
          </w:tcPr>
          <w:p w:rsidR="00DA3529" w:rsidRPr="00F16492" w:rsidRDefault="006D1911" w:rsidP="00DA3529">
            <w:pPr>
              <w:pStyle w:val="a9"/>
              <w:jc w:val="center"/>
            </w:pPr>
            <w:r>
              <w:t>179457,85</w:t>
            </w:r>
          </w:p>
        </w:tc>
        <w:tc>
          <w:tcPr>
            <w:tcW w:w="636" w:type="pct"/>
          </w:tcPr>
          <w:p w:rsidR="006877FC" w:rsidRPr="00796475" w:rsidRDefault="006D1911" w:rsidP="006877FC">
            <w:pPr>
              <w:jc w:val="center"/>
            </w:pPr>
            <w:r>
              <w:t>87,1</w:t>
            </w:r>
          </w:p>
        </w:tc>
      </w:tr>
      <w:tr w:rsidR="00614EE4" w:rsidRPr="00F16492" w:rsidTr="00614EE4">
        <w:tblPrEx>
          <w:tblLook w:val="04A0"/>
        </w:tblPrEx>
        <w:trPr>
          <w:trHeight w:val="255"/>
        </w:trPr>
        <w:tc>
          <w:tcPr>
            <w:tcW w:w="2810" w:type="pct"/>
            <w:shd w:val="clear" w:color="auto" w:fill="auto"/>
            <w:vAlign w:val="bottom"/>
            <w:hideMark/>
          </w:tcPr>
          <w:p w:rsidR="00614EE4" w:rsidRPr="00F16492" w:rsidRDefault="00614EE4" w:rsidP="00DD44F9">
            <w:pPr>
              <w:pStyle w:val="a9"/>
            </w:pPr>
            <w:r w:rsidRPr="00F16492">
              <w:t xml:space="preserve">Дотации </w:t>
            </w:r>
            <w:r>
              <w:t>на выравнивание бюджетной обеспеченности</w:t>
            </w:r>
          </w:p>
        </w:tc>
        <w:tc>
          <w:tcPr>
            <w:tcW w:w="705" w:type="pct"/>
            <w:shd w:val="clear" w:color="auto" w:fill="auto"/>
          </w:tcPr>
          <w:p w:rsidR="00614EE4" w:rsidRPr="00F16492" w:rsidRDefault="006D1911" w:rsidP="00DD44F9">
            <w:pPr>
              <w:pStyle w:val="a9"/>
              <w:jc w:val="center"/>
            </w:pPr>
            <w:r>
              <w:t>637500,00</w:t>
            </w:r>
          </w:p>
        </w:tc>
        <w:tc>
          <w:tcPr>
            <w:tcW w:w="849" w:type="pct"/>
            <w:shd w:val="clear" w:color="auto" w:fill="auto"/>
          </w:tcPr>
          <w:p w:rsidR="00614EE4" w:rsidRPr="00F16492" w:rsidRDefault="006D1911" w:rsidP="00DD44F9">
            <w:pPr>
              <w:pStyle w:val="a9"/>
              <w:jc w:val="center"/>
            </w:pPr>
            <w:r>
              <w:t>159400,00</w:t>
            </w:r>
          </w:p>
        </w:tc>
        <w:tc>
          <w:tcPr>
            <w:tcW w:w="636" w:type="pct"/>
          </w:tcPr>
          <w:p w:rsidR="00614EE4" w:rsidRPr="00796475" w:rsidRDefault="006D1911" w:rsidP="00DD44F9">
            <w:pPr>
              <w:jc w:val="center"/>
            </w:pPr>
            <w:r>
              <w:t>84,3</w:t>
            </w:r>
          </w:p>
        </w:tc>
      </w:tr>
      <w:tr w:rsidR="00176E3C" w:rsidRPr="00F16492" w:rsidTr="00614EE4">
        <w:tblPrEx>
          <w:tblLook w:val="04A0"/>
        </w:tblPrEx>
        <w:trPr>
          <w:trHeight w:val="255"/>
        </w:trPr>
        <w:tc>
          <w:tcPr>
            <w:tcW w:w="2810" w:type="pct"/>
            <w:shd w:val="clear" w:color="auto" w:fill="auto"/>
            <w:vAlign w:val="bottom"/>
            <w:hideMark/>
          </w:tcPr>
          <w:p w:rsidR="00176E3C" w:rsidRPr="00F16492" w:rsidRDefault="00176E3C" w:rsidP="00DD44F9">
            <w:pPr>
              <w:pStyle w:val="a9"/>
            </w:pPr>
            <w:r>
              <w:t xml:space="preserve">Субсидии бюджетам сельских поселений </w:t>
            </w:r>
          </w:p>
        </w:tc>
        <w:tc>
          <w:tcPr>
            <w:tcW w:w="705" w:type="pct"/>
            <w:shd w:val="clear" w:color="auto" w:fill="auto"/>
          </w:tcPr>
          <w:p w:rsidR="00176E3C" w:rsidRDefault="006D1911" w:rsidP="00DD44F9">
            <w:pPr>
              <w:pStyle w:val="a9"/>
              <w:jc w:val="center"/>
            </w:pPr>
            <w:r>
              <w:t>1311000,00</w:t>
            </w:r>
          </w:p>
        </w:tc>
        <w:tc>
          <w:tcPr>
            <w:tcW w:w="849" w:type="pct"/>
            <w:shd w:val="clear" w:color="auto" w:fill="auto"/>
          </w:tcPr>
          <w:p w:rsidR="00176E3C" w:rsidRDefault="006D1911" w:rsidP="00DD44F9">
            <w:pPr>
              <w:pStyle w:val="a9"/>
              <w:jc w:val="center"/>
            </w:pPr>
            <w:r>
              <w:t>0,00</w:t>
            </w:r>
          </w:p>
        </w:tc>
        <w:tc>
          <w:tcPr>
            <w:tcW w:w="636" w:type="pct"/>
          </w:tcPr>
          <w:p w:rsidR="00176E3C" w:rsidRPr="00796475" w:rsidRDefault="006D1911" w:rsidP="00DD44F9">
            <w:pPr>
              <w:jc w:val="center"/>
            </w:pPr>
            <w:r>
              <w:t>0</w:t>
            </w:r>
          </w:p>
        </w:tc>
      </w:tr>
      <w:tr w:rsidR="00614EE4" w:rsidRPr="00F16492" w:rsidTr="00614EE4">
        <w:tblPrEx>
          <w:tblLook w:val="04A0"/>
        </w:tblPrEx>
        <w:trPr>
          <w:trHeight w:val="255"/>
        </w:trPr>
        <w:tc>
          <w:tcPr>
            <w:tcW w:w="2810" w:type="pct"/>
            <w:shd w:val="clear" w:color="auto" w:fill="auto"/>
            <w:vAlign w:val="bottom"/>
            <w:hideMark/>
          </w:tcPr>
          <w:p w:rsidR="00614EE4" w:rsidRPr="00F16492" w:rsidRDefault="00614EE4" w:rsidP="00DD44F9">
            <w:pPr>
              <w:pStyle w:val="a9"/>
            </w:pPr>
            <w:r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где отсутствуют военные комиссариаты</w:t>
            </w:r>
          </w:p>
        </w:tc>
        <w:tc>
          <w:tcPr>
            <w:tcW w:w="705" w:type="pct"/>
            <w:shd w:val="clear" w:color="auto" w:fill="auto"/>
          </w:tcPr>
          <w:p w:rsidR="00614EE4" w:rsidRDefault="006D1911" w:rsidP="00DD44F9">
            <w:pPr>
              <w:pStyle w:val="a9"/>
              <w:jc w:val="center"/>
            </w:pPr>
            <w:r>
              <w:t>138800,00</w:t>
            </w:r>
          </w:p>
        </w:tc>
        <w:tc>
          <w:tcPr>
            <w:tcW w:w="849" w:type="pct"/>
            <w:shd w:val="clear" w:color="auto" w:fill="auto"/>
          </w:tcPr>
          <w:p w:rsidR="00614EE4" w:rsidRDefault="006D1911" w:rsidP="00DD44F9">
            <w:pPr>
              <w:pStyle w:val="a9"/>
              <w:jc w:val="center"/>
            </w:pPr>
            <w:r>
              <w:t>20057,85</w:t>
            </w:r>
          </w:p>
        </w:tc>
        <w:tc>
          <w:tcPr>
            <w:tcW w:w="636" w:type="pct"/>
          </w:tcPr>
          <w:p w:rsidR="00614EE4" w:rsidRPr="00796475" w:rsidRDefault="006D1911" w:rsidP="00DD44F9">
            <w:pPr>
              <w:jc w:val="center"/>
            </w:pPr>
            <w:r>
              <w:t>118,6</w:t>
            </w:r>
          </w:p>
        </w:tc>
      </w:tr>
    </w:tbl>
    <w:p w:rsidR="007848EC" w:rsidRPr="00E70372" w:rsidRDefault="007848EC" w:rsidP="007848EC">
      <w:pPr>
        <w:ind w:firstLine="851"/>
        <w:jc w:val="both"/>
        <w:rPr>
          <w:sz w:val="28"/>
          <w:szCs w:val="28"/>
        </w:rPr>
      </w:pPr>
    </w:p>
    <w:p w:rsidR="00594303" w:rsidRDefault="007848EC" w:rsidP="006E529D">
      <w:pPr>
        <w:spacing w:line="276" w:lineRule="auto"/>
        <w:ind w:firstLine="851"/>
        <w:jc w:val="both"/>
        <w:rPr>
          <w:sz w:val="28"/>
          <w:szCs w:val="28"/>
        </w:rPr>
      </w:pPr>
      <w:r w:rsidRPr="00734EA3">
        <w:rPr>
          <w:sz w:val="28"/>
          <w:szCs w:val="28"/>
        </w:rPr>
        <w:t xml:space="preserve">Расходы бюджета утверждены </w:t>
      </w:r>
      <w:r w:rsidR="00594303">
        <w:rPr>
          <w:sz w:val="28"/>
          <w:szCs w:val="28"/>
        </w:rPr>
        <w:t>на 20</w:t>
      </w:r>
      <w:r w:rsidR="007B6D35">
        <w:rPr>
          <w:sz w:val="28"/>
          <w:szCs w:val="28"/>
        </w:rPr>
        <w:t>2</w:t>
      </w:r>
      <w:r w:rsidR="004D6C8D">
        <w:rPr>
          <w:sz w:val="28"/>
          <w:szCs w:val="28"/>
        </w:rPr>
        <w:t>4</w:t>
      </w:r>
      <w:r w:rsidR="00594303">
        <w:rPr>
          <w:sz w:val="28"/>
          <w:szCs w:val="28"/>
        </w:rPr>
        <w:t xml:space="preserve"> год </w:t>
      </w:r>
      <w:r w:rsidRPr="00734EA3">
        <w:rPr>
          <w:sz w:val="28"/>
          <w:szCs w:val="28"/>
        </w:rPr>
        <w:t xml:space="preserve">в сумме </w:t>
      </w:r>
      <w:r w:rsidR="004D6C8D">
        <w:rPr>
          <w:sz w:val="28"/>
          <w:szCs w:val="28"/>
        </w:rPr>
        <w:t>4065899,66</w:t>
      </w:r>
      <w:r w:rsidRPr="00734EA3">
        <w:rPr>
          <w:sz w:val="28"/>
          <w:szCs w:val="28"/>
        </w:rPr>
        <w:t xml:space="preserve"> рублей</w:t>
      </w:r>
      <w:r w:rsidR="00594303">
        <w:rPr>
          <w:sz w:val="28"/>
          <w:szCs w:val="28"/>
        </w:rPr>
        <w:t>. Исполнение на 01.0</w:t>
      </w:r>
      <w:r w:rsidR="00BD11BF">
        <w:rPr>
          <w:sz w:val="28"/>
          <w:szCs w:val="28"/>
        </w:rPr>
        <w:t>4</w:t>
      </w:r>
      <w:r w:rsidR="00594303">
        <w:rPr>
          <w:sz w:val="28"/>
          <w:szCs w:val="28"/>
        </w:rPr>
        <w:t>.20</w:t>
      </w:r>
      <w:r w:rsidR="007B6D35">
        <w:rPr>
          <w:sz w:val="28"/>
          <w:szCs w:val="28"/>
        </w:rPr>
        <w:t>2</w:t>
      </w:r>
      <w:r w:rsidR="004D6C8D">
        <w:rPr>
          <w:sz w:val="28"/>
          <w:szCs w:val="28"/>
        </w:rPr>
        <w:t>4</w:t>
      </w:r>
      <w:r w:rsidR="00BD11BF">
        <w:rPr>
          <w:sz w:val="28"/>
          <w:szCs w:val="28"/>
        </w:rPr>
        <w:t xml:space="preserve"> г.</w:t>
      </w:r>
      <w:r w:rsidR="00594303">
        <w:rPr>
          <w:sz w:val="28"/>
          <w:szCs w:val="28"/>
        </w:rPr>
        <w:t xml:space="preserve"> составляет </w:t>
      </w:r>
      <w:r w:rsidR="004D6C8D">
        <w:rPr>
          <w:sz w:val="28"/>
          <w:szCs w:val="28"/>
        </w:rPr>
        <w:t>536528,33</w:t>
      </w:r>
      <w:r w:rsidR="00734EA3" w:rsidRPr="00734EA3">
        <w:rPr>
          <w:sz w:val="28"/>
          <w:szCs w:val="28"/>
        </w:rPr>
        <w:t>рубл</w:t>
      </w:r>
      <w:r w:rsidR="00302A31">
        <w:rPr>
          <w:sz w:val="28"/>
          <w:szCs w:val="28"/>
        </w:rPr>
        <w:t>ей</w:t>
      </w:r>
      <w:r w:rsidRPr="00734EA3">
        <w:rPr>
          <w:sz w:val="28"/>
          <w:szCs w:val="28"/>
        </w:rPr>
        <w:t xml:space="preserve">, что составляет </w:t>
      </w:r>
      <w:r w:rsidR="004D6C8D">
        <w:rPr>
          <w:sz w:val="28"/>
          <w:szCs w:val="28"/>
        </w:rPr>
        <w:t>13,20</w:t>
      </w:r>
      <w:r w:rsidR="0097338E">
        <w:rPr>
          <w:sz w:val="28"/>
          <w:szCs w:val="28"/>
        </w:rPr>
        <w:t xml:space="preserve"> </w:t>
      </w:r>
      <w:r w:rsidR="00594303">
        <w:rPr>
          <w:sz w:val="28"/>
          <w:szCs w:val="28"/>
        </w:rPr>
        <w:t>% от назначений года</w:t>
      </w:r>
      <w:r w:rsidR="007B6D35">
        <w:rPr>
          <w:sz w:val="28"/>
          <w:szCs w:val="28"/>
        </w:rPr>
        <w:t xml:space="preserve"> </w:t>
      </w:r>
      <w:r w:rsidR="00626B7F">
        <w:rPr>
          <w:sz w:val="28"/>
          <w:szCs w:val="28"/>
        </w:rPr>
        <w:t xml:space="preserve">, </w:t>
      </w:r>
      <w:r w:rsidR="004D6C8D">
        <w:rPr>
          <w:sz w:val="28"/>
          <w:szCs w:val="28"/>
        </w:rPr>
        <w:t>169,9</w:t>
      </w:r>
      <w:r w:rsidR="007043EC">
        <w:rPr>
          <w:sz w:val="28"/>
          <w:szCs w:val="28"/>
        </w:rPr>
        <w:t xml:space="preserve"> </w:t>
      </w:r>
      <w:r w:rsidR="00594303">
        <w:rPr>
          <w:sz w:val="28"/>
          <w:szCs w:val="28"/>
        </w:rPr>
        <w:t>% к уровню 20</w:t>
      </w:r>
      <w:r w:rsidR="00CF40AC">
        <w:rPr>
          <w:sz w:val="28"/>
          <w:szCs w:val="28"/>
        </w:rPr>
        <w:t>2</w:t>
      </w:r>
      <w:r w:rsidR="004D6C8D">
        <w:rPr>
          <w:sz w:val="28"/>
          <w:szCs w:val="28"/>
        </w:rPr>
        <w:t>3</w:t>
      </w:r>
      <w:r w:rsidR="00594303">
        <w:rPr>
          <w:sz w:val="28"/>
          <w:szCs w:val="28"/>
        </w:rPr>
        <w:t xml:space="preserve"> года</w:t>
      </w:r>
      <w:r w:rsidRPr="00734EA3">
        <w:rPr>
          <w:sz w:val="28"/>
          <w:szCs w:val="28"/>
        </w:rPr>
        <w:t>.</w:t>
      </w:r>
    </w:p>
    <w:p w:rsidR="007848EC" w:rsidRPr="00E70372" w:rsidRDefault="007848EC" w:rsidP="007848EC">
      <w:pPr>
        <w:ind w:firstLine="851"/>
        <w:jc w:val="both"/>
        <w:rPr>
          <w:sz w:val="28"/>
          <w:szCs w:val="28"/>
        </w:rPr>
      </w:pPr>
      <w:r w:rsidRPr="00734EA3">
        <w:rPr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843"/>
        <w:gridCol w:w="1843"/>
        <w:gridCol w:w="1275"/>
      </w:tblGrid>
      <w:tr w:rsidR="00600B56" w:rsidRPr="00E82A3C" w:rsidTr="00600B56">
        <w:tc>
          <w:tcPr>
            <w:tcW w:w="4786" w:type="dxa"/>
          </w:tcPr>
          <w:p w:rsidR="00600B56" w:rsidRPr="007627AF" w:rsidRDefault="00600B56" w:rsidP="00815649">
            <w:pPr>
              <w:rPr>
                <w:b/>
                <w:sz w:val="20"/>
                <w:szCs w:val="20"/>
              </w:rPr>
            </w:pPr>
            <w:r w:rsidRPr="007627AF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1843" w:type="dxa"/>
          </w:tcPr>
          <w:p w:rsidR="00600B56" w:rsidRPr="007627AF" w:rsidRDefault="00600B56" w:rsidP="00BC228C">
            <w:pPr>
              <w:jc w:val="both"/>
              <w:rPr>
                <w:b/>
                <w:sz w:val="20"/>
                <w:szCs w:val="20"/>
              </w:rPr>
            </w:pPr>
            <w:r w:rsidRPr="007627AF">
              <w:rPr>
                <w:b/>
                <w:sz w:val="20"/>
                <w:szCs w:val="20"/>
              </w:rPr>
              <w:t>Предусмотрено в бюджете на 20</w:t>
            </w:r>
            <w:r w:rsidR="007B6D35" w:rsidRPr="007627AF">
              <w:rPr>
                <w:b/>
                <w:sz w:val="20"/>
                <w:szCs w:val="20"/>
              </w:rPr>
              <w:t>2</w:t>
            </w:r>
            <w:r w:rsidR="00BC228C">
              <w:rPr>
                <w:b/>
                <w:sz w:val="20"/>
                <w:szCs w:val="20"/>
              </w:rPr>
              <w:t>4</w:t>
            </w:r>
            <w:r w:rsidRPr="007627AF">
              <w:rPr>
                <w:b/>
                <w:sz w:val="20"/>
                <w:szCs w:val="20"/>
              </w:rPr>
              <w:t xml:space="preserve"> год, в рублях</w:t>
            </w:r>
          </w:p>
        </w:tc>
        <w:tc>
          <w:tcPr>
            <w:tcW w:w="1843" w:type="dxa"/>
          </w:tcPr>
          <w:p w:rsidR="00600B56" w:rsidRPr="007627AF" w:rsidRDefault="00600B56" w:rsidP="00BC228C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7627AF">
              <w:rPr>
                <w:b/>
                <w:sz w:val="20"/>
                <w:szCs w:val="20"/>
              </w:rPr>
              <w:t>Кассовое</w:t>
            </w:r>
            <w:proofErr w:type="gramEnd"/>
            <w:r w:rsidRPr="007627AF">
              <w:rPr>
                <w:b/>
                <w:sz w:val="20"/>
                <w:szCs w:val="20"/>
              </w:rPr>
              <w:t xml:space="preserve"> расходы за </w:t>
            </w:r>
            <w:r w:rsidR="00417EBA" w:rsidRPr="007627AF">
              <w:rPr>
                <w:b/>
                <w:sz w:val="20"/>
                <w:szCs w:val="20"/>
              </w:rPr>
              <w:t>1 квартал</w:t>
            </w:r>
            <w:r w:rsidRPr="007627AF">
              <w:rPr>
                <w:b/>
                <w:sz w:val="20"/>
                <w:szCs w:val="20"/>
              </w:rPr>
              <w:t xml:space="preserve"> 20</w:t>
            </w:r>
            <w:r w:rsidR="007B6D35" w:rsidRPr="007627AF">
              <w:rPr>
                <w:b/>
                <w:sz w:val="20"/>
                <w:szCs w:val="20"/>
              </w:rPr>
              <w:t>2</w:t>
            </w:r>
            <w:r w:rsidR="00BC228C">
              <w:rPr>
                <w:b/>
                <w:sz w:val="20"/>
                <w:szCs w:val="20"/>
              </w:rPr>
              <w:t>4</w:t>
            </w:r>
            <w:r w:rsidRPr="007627AF">
              <w:rPr>
                <w:b/>
                <w:sz w:val="20"/>
                <w:szCs w:val="20"/>
              </w:rPr>
              <w:t xml:space="preserve"> год, в рублях</w:t>
            </w:r>
          </w:p>
        </w:tc>
        <w:tc>
          <w:tcPr>
            <w:tcW w:w="1275" w:type="dxa"/>
          </w:tcPr>
          <w:p w:rsidR="00600B56" w:rsidRPr="007627AF" w:rsidRDefault="00600B56" w:rsidP="006E54CF">
            <w:pPr>
              <w:jc w:val="both"/>
              <w:rPr>
                <w:b/>
                <w:sz w:val="20"/>
                <w:szCs w:val="20"/>
              </w:rPr>
            </w:pPr>
            <w:r w:rsidRPr="007627AF">
              <w:rPr>
                <w:b/>
                <w:sz w:val="20"/>
                <w:szCs w:val="20"/>
              </w:rPr>
              <w:t>% исполнения к году</w:t>
            </w:r>
          </w:p>
        </w:tc>
      </w:tr>
      <w:tr w:rsidR="00600B56" w:rsidRPr="00157650" w:rsidTr="00600B56">
        <w:tc>
          <w:tcPr>
            <w:tcW w:w="4786" w:type="dxa"/>
          </w:tcPr>
          <w:p w:rsidR="00600B56" w:rsidRPr="007627AF" w:rsidRDefault="00600B56" w:rsidP="00815649">
            <w:pPr>
              <w:rPr>
                <w:sz w:val="20"/>
                <w:szCs w:val="20"/>
              </w:rPr>
            </w:pPr>
            <w:r w:rsidRPr="007627AF">
              <w:rPr>
                <w:sz w:val="20"/>
                <w:szCs w:val="20"/>
              </w:rPr>
              <w:t>0100 «Общегосударственные расходы»</w:t>
            </w:r>
          </w:p>
        </w:tc>
        <w:tc>
          <w:tcPr>
            <w:tcW w:w="1843" w:type="dxa"/>
          </w:tcPr>
          <w:p w:rsidR="000760B9" w:rsidRPr="007627AF" w:rsidRDefault="00BC228C" w:rsidP="007043E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1520735,67</w:t>
            </w:r>
          </w:p>
        </w:tc>
        <w:tc>
          <w:tcPr>
            <w:tcW w:w="1843" w:type="dxa"/>
          </w:tcPr>
          <w:p w:rsidR="00600B56" w:rsidRPr="007627AF" w:rsidRDefault="00BC228C" w:rsidP="006E54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379258,48</w:t>
            </w:r>
          </w:p>
        </w:tc>
        <w:tc>
          <w:tcPr>
            <w:tcW w:w="1275" w:type="dxa"/>
          </w:tcPr>
          <w:p w:rsidR="00600B56" w:rsidRPr="007627AF" w:rsidRDefault="00BC228C" w:rsidP="007043E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24,94</w:t>
            </w:r>
          </w:p>
        </w:tc>
      </w:tr>
      <w:tr w:rsidR="00600B56" w:rsidRPr="00157650" w:rsidTr="00600B56">
        <w:tc>
          <w:tcPr>
            <w:tcW w:w="4786" w:type="dxa"/>
          </w:tcPr>
          <w:p w:rsidR="00600B56" w:rsidRPr="007627AF" w:rsidRDefault="00600B56" w:rsidP="0097338E">
            <w:pPr>
              <w:rPr>
                <w:sz w:val="20"/>
                <w:szCs w:val="20"/>
              </w:rPr>
            </w:pPr>
            <w:r w:rsidRPr="007627AF">
              <w:rPr>
                <w:sz w:val="20"/>
                <w:szCs w:val="20"/>
              </w:rPr>
              <w:t>0200 «Национальная оборона»</w:t>
            </w:r>
          </w:p>
        </w:tc>
        <w:tc>
          <w:tcPr>
            <w:tcW w:w="1843" w:type="dxa"/>
          </w:tcPr>
          <w:p w:rsidR="00600B56" w:rsidRPr="007627AF" w:rsidRDefault="00BC228C" w:rsidP="007848E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138800,00</w:t>
            </w:r>
          </w:p>
        </w:tc>
        <w:tc>
          <w:tcPr>
            <w:tcW w:w="1843" w:type="dxa"/>
          </w:tcPr>
          <w:p w:rsidR="00600B56" w:rsidRPr="007627AF" w:rsidRDefault="00BC228C" w:rsidP="000C7AC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20057,85</w:t>
            </w:r>
          </w:p>
        </w:tc>
        <w:tc>
          <w:tcPr>
            <w:tcW w:w="1275" w:type="dxa"/>
          </w:tcPr>
          <w:p w:rsidR="00600B56" w:rsidRPr="007627AF" w:rsidRDefault="00BC228C" w:rsidP="00813FD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14,45</w:t>
            </w:r>
          </w:p>
        </w:tc>
      </w:tr>
      <w:tr w:rsidR="00600B56" w:rsidRPr="00157650" w:rsidTr="00600B56">
        <w:tc>
          <w:tcPr>
            <w:tcW w:w="4786" w:type="dxa"/>
          </w:tcPr>
          <w:p w:rsidR="00600B56" w:rsidRPr="007627AF" w:rsidRDefault="00600B56" w:rsidP="00815649">
            <w:pPr>
              <w:rPr>
                <w:sz w:val="20"/>
                <w:szCs w:val="20"/>
              </w:rPr>
            </w:pPr>
            <w:r w:rsidRPr="007627AF">
              <w:rPr>
                <w:sz w:val="20"/>
                <w:szCs w:val="20"/>
              </w:rPr>
              <w:t>0300 «Национальная безопасность и правоохранительная деятельность»</w:t>
            </w:r>
          </w:p>
        </w:tc>
        <w:tc>
          <w:tcPr>
            <w:tcW w:w="1843" w:type="dxa"/>
          </w:tcPr>
          <w:p w:rsidR="00600B56" w:rsidRPr="007627AF" w:rsidRDefault="00BC228C" w:rsidP="00784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600B56" w:rsidRPr="007627AF" w:rsidRDefault="00BC228C" w:rsidP="000C7A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0B56" w:rsidRPr="007627AF" w:rsidRDefault="00BC228C" w:rsidP="00813F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00B56" w:rsidRPr="00157650" w:rsidTr="00600B56">
        <w:tc>
          <w:tcPr>
            <w:tcW w:w="4786" w:type="dxa"/>
          </w:tcPr>
          <w:p w:rsidR="00600B56" w:rsidRPr="007627AF" w:rsidRDefault="00600B56" w:rsidP="00815649">
            <w:pPr>
              <w:rPr>
                <w:sz w:val="20"/>
                <w:szCs w:val="20"/>
              </w:rPr>
            </w:pPr>
            <w:r w:rsidRPr="007627AF">
              <w:rPr>
                <w:sz w:val="20"/>
                <w:szCs w:val="20"/>
              </w:rPr>
              <w:t>0400 «Национальная экономика»</w:t>
            </w:r>
          </w:p>
        </w:tc>
        <w:tc>
          <w:tcPr>
            <w:tcW w:w="1843" w:type="dxa"/>
          </w:tcPr>
          <w:p w:rsidR="00600B56" w:rsidRPr="007627AF" w:rsidRDefault="00BC228C" w:rsidP="00A27FE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2397993,79</w:t>
            </w:r>
          </w:p>
        </w:tc>
        <w:tc>
          <w:tcPr>
            <w:tcW w:w="1843" w:type="dxa"/>
          </w:tcPr>
          <w:p w:rsidR="00600B56" w:rsidRPr="007627AF" w:rsidRDefault="00BC228C" w:rsidP="00A27FE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137212,00</w:t>
            </w:r>
          </w:p>
        </w:tc>
        <w:tc>
          <w:tcPr>
            <w:tcW w:w="1275" w:type="dxa"/>
          </w:tcPr>
          <w:p w:rsidR="00600B56" w:rsidRPr="007627AF" w:rsidRDefault="00BC228C" w:rsidP="00A27F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5,72</w:t>
            </w:r>
          </w:p>
        </w:tc>
      </w:tr>
      <w:tr w:rsidR="00600B56" w:rsidRPr="00157650" w:rsidTr="00600B56">
        <w:tc>
          <w:tcPr>
            <w:tcW w:w="4786" w:type="dxa"/>
          </w:tcPr>
          <w:p w:rsidR="00600B56" w:rsidRPr="007627AF" w:rsidRDefault="00600B56" w:rsidP="00815649">
            <w:pPr>
              <w:rPr>
                <w:sz w:val="20"/>
                <w:szCs w:val="20"/>
              </w:rPr>
            </w:pPr>
            <w:r w:rsidRPr="007627AF">
              <w:rPr>
                <w:sz w:val="20"/>
                <w:szCs w:val="20"/>
              </w:rPr>
              <w:t>0500 «Жилищно-коммунальное хозяйство»</w:t>
            </w:r>
          </w:p>
        </w:tc>
        <w:tc>
          <w:tcPr>
            <w:tcW w:w="1843" w:type="dxa"/>
          </w:tcPr>
          <w:p w:rsidR="00600B56" w:rsidRPr="007627AF" w:rsidRDefault="00BC228C" w:rsidP="00A27FE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8370,20</w:t>
            </w:r>
          </w:p>
        </w:tc>
        <w:tc>
          <w:tcPr>
            <w:tcW w:w="1843" w:type="dxa"/>
          </w:tcPr>
          <w:p w:rsidR="00600B56" w:rsidRPr="007627AF" w:rsidRDefault="00BC228C" w:rsidP="00A27F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0B56" w:rsidRPr="007627AF" w:rsidRDefault="00BC228C" w:rsidP="00A27F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00B56" w:rsidRPr="00E70372" w:rsidTr="00600B56">
        <w:tc>
          <w:tcPr>
            <w:tcW w:w="4786" w:type="dxa"/>
          </w:tcPr>
          <w:p w:rsidR="00600B56" w:rsidRPr="007627AF" w:rsidRDefault="00600B56" w:rsidP="00815649">
            <w:pPr>
              <w:rPr>
                <w:b/>
                <w:sz w:val="20"/>
                <w:szCs w:val="20"/>
              </w:rPr>
            </w:pPr>
            <w:r w:rsidRPr="007627A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43" w:type="dxa"/>
          </w:tcPr>
          <w:p w:rsidR="00600B56" w:rsidRPr="007627AF" w:rsidRDefault="00BC228C" w:rsidP="007848E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4065899,66</w:t>
            </w:r>
          </w:p>
        </w:tc>
        <w:tc>
          <w:tcPr>
            <w:tcW w:w="1843" w:type="dxa"/>
          </w:tcPr>
          <w:p w:rsidR="00600B56" w:rsidRPr="007627AF" w:rsidRDefault="00BC228C" w:rsidP="007043E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536528,33</w:t>
            </w:r>
          </w:p>
        </w:tc>
        <w:tc>
          <w:tcPr>
            <w:tcW w:w="1275" w:type="dxa"/>
          </w:tcPr>
          <w:p w:rsidR="00600B56" w:rsidRPr="007627AF" w:rsidRDefault="00BC228C" w:rsidP="001F38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13,20</w:t>
            </w:r>
          </w:p>
        </w:tc>
      </w:tr>
    </w:tbl>
    <w:p w:rsidR="00532DF9" w:rsidRDefault="005A6E4C" w:rsidP="00532DF9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</w:t>
      </w:r>
    </w:p>
    <w:p w:rsidR="00532DF9" w:rsidRDefault="00710368" w:rsidP="00532DF9">
      <w:pPr>
        <w:pStyle w:val="a3"/>
        <w:spacing w:line="276" w:lineRule="auto"/>
        <w:ind w:firstLine="1248"/>
        <w:jc w:val="both"/>
        <w:rPr>
          <w:color w:val="000000"/>
          <w:szCs w:val="28"/>
        </w:rPr>
      </w:pPr>
      <w:r w:rsidRPr="000E2E91">
        <w:rPr>
          <w:szCs w:val="28"/>
        </w:rPr>
        <w:t>Приоритетным направлением расходования бюджетных сре</w:t>
      </w:r>
      <w:r w:rsidR="00173A37" w:rsidRPr="000E2E91">
        <w:rPr>
          <w:szCs w:val="28"/>
        </w:rPr>
        <w:t xml:space="preserve">дств является </w:t>
      </w:r>
      <w:r w:rsidR="00D30CBF">
        <w:rPr>
          <w:szCs w:val="28"/>
        </w:rPr>
        <w:t xml:space="preserve">общегосударственные </w:t>
      </w:r>
      <w:proofErr w:type="gramStart"/>
      <w:r w:rsidR="00D30CBF">
        <w:rPr>
          <w:szCs w:val="28"/>
        </w:rPr>
        <w:t>расходы</w:t>
      </w:r>
      <w:proofErr w:type="gramEnd"/>
      <w:r w:rsidR="00173A37" w:rsidRPr="000E2E91">
        <w:rPr>
          <w:szCs w:val="28"/>
        </w:rPr>
        <w:t xml:space="preserve"> </w:t>
      </w:r>
      <w:r w:rsidRPr="000E2E91">
        <w:rPr>
          <w:szCs w:val="28"/>
        </w:rPr>
        <w:t xml:space="preserve">на которую направлено </w:t>
      </w:r>
      <w:r w:rsidR="006354A9">
        <w:rPr>
          <w:szCs w:val="28"/>
        </w:rPr>
        <w:t>379258,48</w:t>
      </w:r>
      <w:r w:rsidR="00532DF9">
        <w:rPr>
          <w:sz w:val="20"/>
          <w:szCs w:val="20"/>
        </w:rPr>
        <w:t xml:space="preserve"> </w:t>
      </w:r>
      <w:r w:rsidRPr="000E2E91">
        <w:rPr>
          <w:szCs w:val="28"/>
        </w:rPr>
        <w:t xml:space="preserve">рублей, что составляет </w:t>
      </w:r>
      <w:r w:rsidR="006354A9">
        <w:rPr>
          <w:szCs w:val="28"/>
        </w:rPr>
        <w:t xml:space="preserve">70,7 </w:t>
      </w:r>
      <w:r w:rsidRPr="000E2E91">
        <w:rPr>
          <w:szCs w:val="28"/>
        </w:rPr>
        <w:t>%</w:t>
      </w:r>
      <w:r w:rsidR="00D566BD" w:rsidRPr="000E2E91">
        <w:rPr>
          <w:szCs w:val="28"/>
        </w:rPr>
        <w:t xml:space="preserve"> от</w:t>
      </w:r>
      <w:r w:rsidRPr="000E2E91">
        <w:rPr>
          <w:szCs w:val="28"/>
        </w:rPr>
        <w:t xml:space="preserve"> расходов  бюджета за</w:t>
      </w:r>
      <w:r w:rsidR="00D566BD" w:rsidRPr="000E2E91">
        <w:rPr>
          <w:szCs w:val="28"/>
        </w:rPr>
        <w:t xml:space="preserve"> </w:t>
      </w:r>
      <w:r w:rsidR="00107CDD">
        <w:rPr>
          <w:szCs w:val="28"/>
        </w:rPr>
        <w:t xml:space="preserve"> 1 кв. </w:t>
      </w:r>
      <w:r w:rsidRPr="000E2E91">
        <w:rPr>
          <w:szCs w:val="28"/>
        </w:rPr>
        <w:t>20</w:t>
      </w:r>
      <w:r w:rsidR="007B6D35">
        <w:rPr>
          <w:szCs w:val="28"/>
        </w:rPr>
        <w:t>2</w:t>
      </w:r>
      <w:r w:rsidR="006354A9">
        <w:rPr>
          <w:szCs w:val="28"/>
        </w:rPr>
        <w:t>4</w:t>
      </w:r>
      <w:r w:rsidRPr="000E2E91">
        <w:rPr>
          <w:szCs w:val="28"/>
        </w:rPr>
        <w:t xml:space="preserve"> год</w:t>
      </w:r>
      <w:r w:rsidR="00107CDD">
        <w:rPr>
          <w:szCs w:val="28"/>
        </w:rPr>
        <w:t>а</w:t>
      </w:r>
      <w:r w:rsidRPr="000E2E91">
        <w:rPr>
          <w:szCs w:val="28"/>
        </w:rPr>
        <w:t>.</w:t>
      </w:r>
      <w:r w:rsidR="005E2EAA" w:rsidRPr="005E2EAA">
        <w:rPr>
          <w:color w:val="000000"/>
          <w:szCs w:val="28"/>
        </w:rPr>
        <w:t xml:space="preserve"> </w:t>
      </w:r>
    </w:p>
    <w:p w:rsidR="005E6732" w:rsidRDefault="00710368" w:rsidP="005E6732">
      <w:pPr>
        <w:pStyle w:val="a3"/>
        <w:spacing w:line="276" w:lineRule="auto"/>
        <w:ind w:firstLine="1248"/>
        <w:jc w:val="both"/>
        <w:rPr>
          <w:szCs w:val="28"/>
        </w:rPr>
      </w:pPr>
      <w:r>
        <w:rPr>
          <w:szCs w:val="28"/>
        </w:rPr>
        <w:t xml:space="preserve">В ходе исполнения бюджета в первоочередном порядке осуществлялось выделение средств на обеспечение текущих выплат по заработной плате и начислениям работникам </w:t>
      </w:r>
      <w:r w:rsidR="00C03458">
        <w:rPr>
          <w:szCs w:val="28"/>
        </w:rPr>
        <w:t>муниципальных учреждений</w:t>
      </w:r>
      <w:r>
        <w:rPr>
          <w:szCs w:val="28"/>
        </w:rPr>
        <w:t xml:space="preserve"> и оплату потребленных тепло энергоресурсов.</w:t>
      </w:r>
    </w:p>
    <w:p w:rsidR="007F7E38" w:rsidRDefault="00710368" w:rsidP="007F7E38">
      <w:pPr>
        <w:pStyle w:val="a3"/>
        <w:spacing w:line="276" w:lineRule="auto"/>
        <w:ind w:firstLine="1248"/>
        <w:jc w:val="both"/>
        <w:rPr>
          <w:szCs w:val="28"/>
        </w:rPr>
      </w:pPr>
      <w:r w:rsidRPr="00577589">
        <w:rPr>
          <w:szCs w:val="28"/>
        </w:rPr>
        <w:t xml:space="preserve">На выплату заработной платы с начислениями по </w:t>
      </w:r>
      <w:r w:rsidR="00945071">
        <w:rPr>
          <w:szCs w:val="28"/>
        </w:rPr>
        <w:t>муниципальным учреждениям</w:t>
      </w:r>
      <w:r w:rsidRPr="00577589">
        <w:rPr>
          <w:szCs w:val="28"/>
        </w:rPr>
        <w:t xml:space="preserve"> направлено </w:t>
      </w:r>
      <w:r w:rsidR="006354A9">
        <w:rPr>
          <w:szCs w:val="28"/>
        </w:rPr>
        <w:t>261691,14</w:t>
      </w:r>
      <w:r w:rsidR="00107CDD">
        <w:rPr>
          <w:szCs w:val="28"/>
        </w:rPr>
        <w:t xml:space="preserve"> </w:t>
      </w:r>
      <w:r w:rsidRPr="00577589">
        <w:rPr>
          <w:szCs w:val="28"/>
        </w:rPr>
        <w:t xml:space="preserve"> рублей, </w:t>
      </w:r>
      <w:r w:rsidR="005E2EAA">
        <w:rPr>
          <w:color w:val="000000"/>
          <w:szCs w:val="28"/>
        </w:rPr>
        <w:t>что по сравнению с показателями 20</w:t>
      </w:r>
      <w:r w:rsidR="00107CDD">
        <w:rPr>
          <w:color w:val="000000"/>
          <w:szCs w:val="28"/>
        </w:rPr>
        <w:t>2</w:t>
      </w:r>
      <w:r w:rsidR="006354A9">
        <w:rPr>
          <w:color w:val="000000"/>
          <w:szCs w:val="28"/>
        </w:rPr>
        <w:t>3</w:t>
      </w:r>
      <w:r w:rsidR="00600B56">
        <w:rPr>
          <w:color w:val="000000"/>
          <w:szCs w:val="28"/>
        </w:rPr>
        <w:t xml:space="preserve"> </w:t>
      </w:r>
      <w:r w:rsidR="005E2EAA">
        <w:rPr>
          <w:color w:val="000000"/>
          <w:szCs w:val="28"/>
        </w:rPr>
        <w:t>г</w:t>
      </w:r>
      <w:r w:rsidR="009A247B">
        <w:rPr>
          <w:color w:val="000000"/>
          <w:szCs w:val="28"/>
        </w:rPr>
        <w:t>.</w:t>
      </w:r>
      <w:r w:rsidR="005E2EAA">
        <w:rPr>
          <w:color w:val="000000"/>
          <w:szCs w:val="28"/>
        </w:rPr>
        <w:t xml:space="preserve"> составило  </w:t>
      </w:r>
      <w:r w:rsidR="006354A9">
        <w:rPr>
          <w:color w:val="000000"/>
          <w:szCs w:val="28"/>
        </w:rPr>
        <w:t>98,4</w:t>
      </w:r>
      <w:r w:rsidR="00536F4A">
        <w:rPr>
          <w:color w:val="000000"/>
          <w:szCs w:val="28"/>
        </w:rPr>
        <w:t>%.</w:t>
      </w:r>
    </w:p>
    <w:p w:rsidR="005E2EAA" w:rsidRPr="007F7E38" w:rsidRDefault="00710368" w:rsidP="007F7E38">
      <w:pPr>
        <w:pStyle w:val="a3"/>
        <w:spacing w:line="276" w:lineRule="auto"/>
        <w:ind w:firstLine="1248"/>
        <w:jc w:val="both"/>
        <w:rPr>
          <w:szCs w:val="28"/>
        </w:rPr>
      </w:pPr>
      <w:r w:rsidRPr="00577589">
        <w:rPr>
          <w:szCs w:val="28"/>
        </w:rPr>
        <w:t xml:space="preserve">Расходы на оплату коммунальных услуг по </w:t>
      </w:r>
      <w:r w:rsidR="00945071">
        <w:rPr>
          <w:szCs w:val="28"/>
        </w:rPr>
        <w:t>муниципальн</w:t>
      </w:r>
      <w:r w:rsidR="00CC0E2D">
        <w:rPr>
          <w:szCs w:val="28"/>
        </w:rPr>
        <w:t>о</w:t>
      </w:r>
      <w:r w:rsidR="00945071">
        <w:rPr>
          <w:szCs w:val="28"/>
        </w:rPr>
        <w:t>м</w:t>
      </w:r>
      <w:r w:rsidR="00CC0E2D">
        <w:rPr>
          <w:szCs w:val="28"/>
        </w:rPr>
        <w:t>у</w:t>
      </w:r>
      <w:r w:rsidR="00945071">
        <w:rPr>
          <w:szCs w:val="28"/>
        </w:rPr>
        <w:t xml:space="preserve"> </w:t>
      </w:r>
      <w:r w:rsidRPr="00577589">
        <w:rPr>
          <w:szCs w:val="28"/>
        </w:rPr>
        <w:t>учреждени</w:t>
      </w:r>
      <w:r w:rsidR="00CC0E2D">
        <w:rPr>
          <w:szCs w:val="28"/>
        </w:rPr>
        <w:t>ю</w:t>
      </w:r>
      <w:r w:rsidRPr="00577589">
        <w:rPr>
          <w:szCs w:val="28"/>
        </w:rPr>
        <w:t xml:space="preserve"> составил</w:t>
      </w:r>
      <w:r w:rsidR="00CC0E2D">
        <w:rPr>
          <w:szCs w:val="28"/>
        </w:rPr>
        <w:t>и</w:t>
      </w:r>
      <w:r w:rsidR="00945071">
        <w:rPr>
          <w:szCs w:val="28"/>
        </w:rPr>
        <w:t xml:space="preserve"> </w:t>
      </w:r>
      <w:r w:rsidR="00107CDD">
        <w:rPr>
          <w:szCs w:val="28"/>
        </w:rPr>
        <w:t xml:space="preserve"> </w:t>
      </w:r>
      <w:r w:rsidR="006354A9">
        <w:rPr>
          <w:szCs w:val="28"/>
        </w:rPr>
        <w:t>126412,39</w:t>
      </w:r>
      <w:r w:rsidRPr="00577589">
        <w:rPr>
          <w:szCs w:val="28"/>
        </w:rPr>
        <w:t xml:space="preserve"> рублей</w:t>
      </w:r>
      <w:r w:rsidR="005E2EAA">
        <w:rPr>
          <w:szCs w:val="28"/>
        </w:rPr>
        <w:t xml:space="preserve">, </w:t>
      </w:r>
      <w:r w:rsidR="005E2EAA">
        <w:rPr>
          <w:color w:val="000000"/>
          <w:szCs w:val="28"/>
        </w:rPr>
        <w:t>что по сравнению с показателями 20</w:t>
      </w:r>
      <w:r w:rsidR="00107CDD">
        <w:rPr>
          <w:color w:val="000000"/>
          <w:szCs w:val="28"/>
        </w:rPr>
        <w:t>2</w:t>
      </w:r>
      <w:r w:rsidR="006354A9">
        <w:rPr>
          <w:color w:val="000000"/>
          <w:szCs w:val="28"/>
        </w:rPr>
        <w:t>3</w:t>
      </w:r>
      <w:r w:rsidR="00814823">
        <w:rPr>
          <w:color w:val="000000"/>
          <w:szCs w:val="28"/>
        </w:rPr>
        <w:t xml:space="preserve"> </w:t>
      </w:r>
      <w:r w:rsidR="005E2EAA">
        <w:rPr>
          <w:color w:val="000000"/>
          <w:szCs w:val="28"/>
        </w:rPr>
        <w:t>г</w:t>
      </w:r>
      <w:r w:rsidR="00090AF4">
        <w:rPr>
          <w:color w:val="000000"/>
          <w:szCs w:val="28"/>
        </w:rPr>
        <w:t>.</w:t>
      </w:r>
      <w:r w:rsidR="005E2EAA">
        <w:rPr>
          <w:color w:val="000000"/>
          <w:szCs w:val="28"/>
        </w:rPr>
        <w:t xml:space="preserve"> составило </w:t>
      </w:r>
      <w:r w:rsidR="006354A9">
        <w:rPr>
          <w:color w:val="000000"/>
          <w:szCs w:val="28"/>
        </w:rPr>
        <w:t>437,6</w:t>
      </w:r>
      <w:r w:rsidR="005E2EAA">
        <w:rPr>
          <w:color w:val="000000"/>
          <w:szCs w:val="28"/>
        </w:rPr>
        <w:t xml:space="preserve">%. </w:t>
      </w:r>
    </w:p>
    <w:sectPr w:rsidR="005E2EAA" w:rsidRPr="007F7E38" w:rsidSect="0035459C">
      <w:pgSz w:w="11906" w:h="16838"/>
      <w:pgMar w:top="142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9A5" w:rsidRDefault="008F19A5" w:rsidP="00A87268">
      <w:r>
        <w:separator/>
      </w:r>
    </w:p>
  </w:endnote>
  <w:endnote w:type="continuationSeparator" w:id="0">
    <w:p w:rsidR="008F19A5" w:rsidRDefault="008F19A5" w:rsidP="00A87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9A5" w:rsidRDefault="008F19A5" w:rsidP="00A87268">
      <w:r>
        <w:separator/>
      </w:r>
    </w:p>
  </w:footnote>
  <w:footnote w:type="continuationSeparator" w:id="0">
    <w:p w:rsidR="008F19A5" w:rsidRDefault="008F19A5" w:rsidP="00A87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77882"/>
    <w:multiLevelType w:val="hybridMultilevel"/>
    <w:tmpl w:val="BF0E2F6A"/>
    <w:lvl w:ilvl="0" w:tplc="AFCCDA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268"/>
    <w:rsid w:val="000031BC"/>
    <w:rsid w:val="00012F0E"/>
    <w:rsid w:val="00020F31"/>
    <w:rsid w:val="00022C39"/>
    <w:rsid w:val="000272B1"/>
    <w:rsid w:val="00027572"/>
    <w:rsid w:val="00037092"/>
    <w:rsid w:val="00037D9C"/>
    <w:rsid w:val="000402BB"/>
    <w:rsid w:val="00044214"/>
    <w:rsid w:val="0005110D"/>
    <w:rsid w:val="000571E6"/>
    <w:rsid w:val="000579B7"/>
    <w:rsid w:val="000711E3"/>
    <w:rsid w:val="00073C4D"/>
    <w:rsid w:val="000760B9"/>
    <w:rsid w:val="000838B4"/>
    <w:rsid w:val="00084C38"/>
    <w:rsid w:val="000855B4"/>
    <w:rsid w:val="00090AF4"/>
    <w:rsid w:val="000B146D"/>
    <w:rsid w:val="000C36CF"/>
    <w:rsid w:val="000C55B0"/>
    <w:rsid w:val="000C7ACC"/>
    <w:rsid w:val="000C7C20"/>
    <w:rsid w:val="000D1DDC"/>
    <w:rsid w:val="000D35F0"/>
    <w:rsid w:val="000D46D3"/>
    <w:rsid w:val="000D74C2"/>
    <w:rsid w:val="000E2E91"/>
    <w:rsid w:val="000E76DD"/>
    <w:rsid w:val="00107CDD"/>
    <w:rsid w:val="001122F7"/>
    <w:rsid w:val="001124F5"/>
    <w:rsid w:val="0012269A"/>
    <w:rsid w:val="0013269D"/>
    <w:rsid w:val="0013300B"/>
    <w:rsid w:val="00135A63"/>
    <w:rsid w:val="0013763C"/>
    <w:rsid w:val="00141425"/>
    <w:rsid w:val="00153658"/>
    <w:rsid w:val="0015460E"/>
    <w:rsid w:val="001604B9"/>
    <w:rsid w:val="00162A58"/>
    <w:rsid w:val="00162DE2"/>
    <w:rsid w:val="00164669"/>
    <w:rsid w:val="00165F13"/>
    <w:rsid w:val="00165F21"/>
    <w:rsid w:val="001663C1"/>
    <w:rsid w:val="001675FD"/>
    <w:rsid w:val="00173A37"/>
    <w:rsid w:val="00176E3C"/>
    <w:rsid w:val="00183E7D"/>
    <w:rsid w:val="00185B36"/>
    <w:rsid w:val="00191395"/>
    <w:rsid w:val="00191DEE"/>
    <w:rsid w:val="001A4C79"/>
    <w:rsid w:val="001A7AC7"/>
    <w:rsid w:val="001B0994"/>
    <w:rsid w:val="001B10F3"/>
    <w:rsid w:val="001B38B5"/>
    <w:rsid w:val="001B3DCC"/>
    <w:rsid w:val="001B6E9A"/>
    <w:rsid w:val="001C16E9"/>
    <w:rsid w:val="001C1F4A"/>
    <w:rsid w:val="001C5070"/>
    <w:rsid w:val="001D25F2"/>
    <w:rsid w:val="001D55A6"/>
    <w:rsid w:val="001E33E0"/>
    <w:rsid w:val="001E5036"/>
    <w:rsid w:val="001E50DA"/>
    <w:rsid w:val="001F0B6C"/>
    <w:rsid w:val="001F38D6"/>
    <w:rsid w:val="00201552"/>
    <w:rsid w:val="00203981"/>
    <w:rsid w:val="00203C41"/>
    <w:rsid w:val="002070AF"/>
    <w:rsid w:val="002079D2"/>
    <w:rsid w:val="0021384B"/>
    <w:rsid w:val="00215020"/>
    <w:rsid w:val="0022027D"/>
    <w:rsid w:val="00221D70"/>
    <w:rsid w:val="002263B3"/>
    <w:rsid w:val="0023025E"/>
    <w:rsid w:val="002344F5"/>
    <w:rsid w:val="00234F88"/>
    <w:rsid w:val="00237772"/>
    <w:rsid w:val="00243A72"/>
    <w:rsid w:val="002454F9"/>
    <w:rsid w:val="00246908"/>
    <w:rsid w:val="00250C18"/>
    <w:rsid w:val="002532B0"/>
    <w:rsid w:val="00254BCE"/>
    <w:rsid w:val="002556BC"/>
    <w:rsid w:val="00262931"/>
    <w:rsid w:val="00272C58"/>
    <w:rsid w:val="00276330"/>
    <w:rsid w:val="00283859"/>
    <w:rsid w:val="002862DA"/>
    <w:rsid w:val="00290C40"/>
    <w:rsid w:val="002A28F8"/>
    <w:rsid w:val="002A41B9"/>
    <w:rsid w:val="002B081C"/>
    <w:rsid w:val="002B5B02"/>
    <w:rsid w:val="002C14CD"/>
    <w:rsid w:val="002C24E7"/>
    <w:rsid w:val="002C2DAD"/>
    <w:rsid w:val="002C3225"/>
    <w:rsid w:val="002C404B"/>
    <w:rsid w:val="002D1A3B"/>
    <w:rsid w:val="002D1FFD"/>
    <w:rsid w:val="002D2FBE"/>
    <w:rsid w:val="002E3046"/>
    <w:rsid w:val="002E7D88"/>
    <w:rsid w:val="00302A31"/>
    <w:rsid w:val="00305654"/>
    <w:rsid w:val="00316C01"/>
    <w:rsid w:val="0032189B"/>
    <w:rsid w:val="003228CA"/>
    <w:rsid w:val="00322DCA"/>
    <w:rsid w:val="00324488"/>
    <w:rsid w:val="003250A2"/>
    <w:rsid w:val="0032546E"/>
    <w:rsid w:val="00327462"/>
    <w:rsid w:val="00327702"/>
    <w:rsid w:val="00327D46"/>
    <w:rsid w:val="00331A9F"/>
    <w:rsid w:val="003337E4"/>
    <w:rsid w:val="00334793"/>
    <w:rsid w:val="00337E54"/>
    <w:rsid w:val="0034121D"/>
    <w:rsid w:val="003415C1"/>
    <w:rsid w:val="003456DA"/>
    <w:rsid w:val="00353053"/>
    <w:rsid w:val="0035459C"/>
    <w:rsid w:val="00355D1E"/>
    <w:rsid w:val="00357898"/>
    <w:rsid w:val="003629EE"/>
    <w:rsid w:val="00362D10"/>
    <w:rsid w:val="00367915"/>
    <w:rsid w:val="003733A3"/>
    <w:rsid w:val="0037379D"/>
    <w:rsid w:val="00373FD7"/>
    <w:rsid w:val="00377484"/>
    <w:rsid w:val="00380497"/>
    <w:rsid w:val="00383534"/>
    <w:rsid w:val="00383C6B"/>
    <w:rsid w:val="0038470F"/>
    <w:rsid w:val="00386861"/>
    <w:rsid w:val="003876C6"/>
    <w:rsid w:val="00387E29"/>
    <w:rsid w:val="00390FD6"/>
    <w:rsid w:val="00392614"/>
    <w:rsid w:val="003A21C7"/>
    <w:rsid w:val="003B205A"/>
    <w:rsid w:val="003B4936"/>
    <w:rsid w:val="003C60CB"/>
    <w:rsid w:val="003D367D"/>
    <w:rsid w:val="003E3EFF"/>
    <w:rsid w:val="003F25B9"/>
    <w:rsid w:val="00404D83"/>
    <w:rsid w:val="00406B35"/>
    <w:rsid w:val="00410AAD"/>
    <w:rsid w:val="004145E7"/>
    <w:rsid w:val="004172D8"/>
    <w:rsid w:val="00417EBA"/>
    <w:rsid w:val="004219F2"/>
    <w:rsid w:val="00426CF3"/>
    <w:rsid w:val="00427275"/>
    <w:rsid w:val="0042745C"/>
    <w:rsid w:val="004364A8"/>
    <w:rsid w:val="00443DF9"/>
    <w:rsid w:val="00452D3C"/>
    <w:rsid w:val="004559C3"/>
    <w:rsid w:val="00456E5C"/>
    <w:rsid w:val="00461C87"/>
    <w:rsid w:val="00465F3A"/>
    <w:rsid w:val="00467056"/>
    <w:rsid w:val="00472FB6"/>
    <w:rsid w:val="004761B1"/>
    <w:rsid w:val="0048230A"/>
    <w:rsid w:val="004A0889"/>
    <w:rsid w:val="004A2143"/>
    <w:rsid w:val="004A31C5"/>
    <w:rsid w:val="004A3FD4"/>
    <w:rsid w:val="004B398D"/>
    <w:rsid w:val="004B3D4A"/>
    <w:rsid w:val="004C1407"/>
    <w:rsid w:val="004C5E45"/>
    <w:rsid w:val="004C6B6F"/>
    <w:rsid w:val="004D699C"/>
    <w:rsid w:val="004D6C8D"/>
    <w:rsid w:val="004F04CF"/>
    <w:rsid w:val="004F68DD"/>
    <w:rsid w:val="00502524"/>
    <w:rsid w:val="00516B98"/>
    <w:rsid w:val="0053103F"/>
    <w:rsid w:val="0053287D"/>
    <w:rsid w:val="00532DF9"/>
    <w:rsid w:val="00536F4A"/>
    <w:rsid w:val="00537B9A"/>
    <w:rsid w:val="00543213"/>
    <w:rsid w:val="005546C1"/>
    <w:rsid w:val="005576BE"/>
    <w:rsid w:val="00561B69"/>
    <w:rsid w:val="00563F97"/>
    <w:rsid w:val="00565991"/>
    <w:rsid w:val="00571B57"/>
    <w:rsid w:val="0057535F"/>
    <w:rsid w:val="00577589"/>
    <w:rsid w:val="00580C32"/>
    <w:rsid w:val="00581A29"/>
    <w:rsid w:val="0058316C"/>
    <w:rsid w:val="00585CEF"/>
    <w:rsid w:val="0059127E"/>
    <w:rsid w:val="00594270"/>
    <w:rsid w:val="00594303"/>
    <w:rsid w:val="005A1932"/>
    <w:rsid w:val="005A3C30"/>
    <w:rsid w:val="005A58AE"/>
    <w:rsid w:val="005A6E4C"/>
    <w:rsid w:val="005A7E1B"/>
    <w:rsid w:val="005B06CF"/>
    <w:rsid w:val="005B7D08"/>
    <w:rsid w:val="005C2D5D"/>
    <w:rsid w:val="005C569C"/>
    <w:rsid w:val="005D1E33"/>
    <w:rsid w:val="005D27E5"/>
    <w:rsid w:val="005D442B"/>
    <w:rsid w:val="005E00A0"/>
    <w:rsid w:val="005E05C0"/>
    <w:rsid w:val="005E1104"/>
    <w:rsid w:val="005E2EAA"/>
    <w:rsid w:val="005E4584"/>
    <w:rsid w:val="005E6732"/>
    <w:rsid w:val="005E7B94"/>
    <w:rsid w:val="005E7E21"/>
    <w:rsid w:val="005F6798"/>
    <w:rsid w:val="00600B56"/>
    <w:rsid w:val="00610575"/>
    <w:rsid w:val="00614EE4"/>
    <w:rsid w:val="00623247"/>
    <w:rsid w:val="00623A74"/>
    <w:rsid w:val="00624F5D"/>
    <w:rsid w:val="00626B7F"/>
    <w:rsid w:val="00626E74"/>
    <w:rsid w:val="006354A9"/>
    <w:rsid w:val="00635A2B"/>
    <w:rsid w:val="006376E8"/>
    <w:rsid w:val="006417A5"/>
    <w:rsid w:val="006449D2"/>
    <w:rsid w:val="006519F1"/>
    <w:rsid w:val="006520AD"/>
    <w:rsid w:val="00652F09"/>
    <w:rsid w:val="0065378E"/>
    <w:rsid w:val="006626AC"/>
    <w:rsid w:val="006629FF"/>
    <w:rsid w:val="00665CB5"/>
    <w:rsid w:val="006706E6"/>
    <w:rsid w:val="006711C0"/>
    <w:rsid w:val="006732B2"/>
    <w:rsid w:val="0067488B"/>
    <w:rsid w:val="00675232"/>
    <w:rsid w:val="006760AF"/>
    <w:rsid w:val="00683F08"/>
    <w:rsid w:val="006877FC"/>
    <w:rsid w:val="00690BCB"/>
    <w:rsid w:val="00690FEC"/>
    <w:rsid w:val="0069487F"/>
    <w:rsid w:val="0069697C"/>
    <w:rsid w:val="006A1B26"/>
    <w:rsid w:val="006A3681"/>
    <w:rsid w:val="006A3A33"/>
    <w:rsid w:val="006C22C7"/>
    <w:rsid w:val="006C2702"/>
    <w:rsid w:val="006D1911"/>
    <w:rsid w:val="006D4753"/>
    <w:rsid w:val="006D529E"/>
    <w:rsid w:val="006D5E57"/>
    <w:rsid w:val="006D7845"/>
    <w:rsid w:val="006E0E0D"/>
    <w:rsid w:val="006E529D"/>
    <w:rsid w:val="006E54CF"/>
    <w:rsid w:val="006E7234"/>
    <w:rsid w:val="006E751B"/>
    <w:rsid w:val="006F068F"/>
    <w:rsid w:val="006F14E1"/>
    <w:rsid w:val="007043EC"/>
    <w:rsid w:val="00710368"/>
    <w:rsid w:val="007105F0"/>
    <w:rsid w:val="00712773"/>
    <w:rsid w:val="007169A6"/>
    <w:rsid w:val="00722A3D"/>
    <w:rsid w:val="00724267"/>
    <w:rsid w:val="0073004D"/>
    <w:rsid w:val="00730156"/>
    <w:rsid w:val="00734EA3"/>
    <w:rsid w:val="0075220C"/>
    <w:rsid w:val="007627AF"/>
    <w:rsid w:val="00762C99"/>
    <w:rsid w:val="00764CD7"/>
    <w:rsid w:val="00772C1F"/>
    <w:rsid w:val="00775C12"/>
    <w:rsid w:val="00781137"/>
    <w:rsid w:val="00784468"/>
    <w:rsid w:val="007848EC"/>
    <w:rsid w:val="00786ACA"/>
    <w:rsid w:val="00790047"/>
    <w:rsid w:val="0079088C"/>
    <w:rsid w:val="0079108A"/>
    <w:rsid w:val="00791B16"/>
    <w:rsid w:val="00796475"/>
    <w:rsid w:val="007967B1"/>
    <w:rsid w:val="00796E8F"/>
    <w:rsid w:val="007A76F4"/>
    <w:rsid w:val="007B0CAC"/>
    <w:rsid w:val="007B11C2"/>
    <w:rsid w:val="007B16AE"/>
    <w:rsid w:val="007B2F91"/>
    <w:rsid w:val="007B6D35"/>
    <w:rsid w:val="007C1031"/>
    <w:rsid w:val="007C1FF8"/>
    <w:rsid w:val="007C4969"/>
    <w:rsid w:val="007C4F2E"/>
    <w:rsid w:val="007E442A"/>
    <w:rsid w:val="007E54E6"/>
    <w:rsid w:val="007F332A"/>
    <w:rsid w:val="007F7E38"/>
    <w:rsid w:val="008013E2"/>
    <w:rsid w:val="00801BC1"/>
    <w:rsid w:val="00802E2F"/>
    <w:rsid w:val="0081252D"/>
    <w:rsid w:val="00813FD7"/>
    <w:rsid w:val="00814823"/>
    <w:rsid w:val="00815029"/>
    <w:rsid w:val="00815649"/>
    <w:rsid w:val="008203A1"/>
    <w:rsid w:val="00821D5F"/>
    <w:rsid w:val="00822F5B"/>
    <w:rsid w:val="00833CB1"/>
    <w:rsid w:val="00837E77"/>
    <w:rsid w:val="008424A2"/>
    <w:rsid w:val="00843A4A"/>
    <w:rsid w:val="008565F5"/>
    <w:rsid w:val="00857CD2"/>
    <w:rsid w:val="00861398"/>
    <w:rsid w:val="008651C6"/>
    <w:rsid w:val="00872DFB"/>
    <w:rsid w:val="00876B73"/>
    <w:rsid w:val="008817C9"/>
    <w:rsid w:val="00882B5F"/>
    <w:rsid w:val="00890394"/>
    <w:rsid w:val="0089190A"/>
    <w:rsid w:val="00896715"/>
    <w:rsid w:val="008A2383"/>
    <w:rsid w:val="008A4DD1"/>
    <w:rsid w:val="008B11EA"/>
    <w:rsid w:val="008B3C8C"/>
    <w:rsid w:val="008B3EFA"/>
    <w:rsid w:val="008B5D87"/>
    <w:rsid w:val="008B696E"/>
    <w:rsid w:val="008B7A0A"/>
    <w:rsid w:val="008C0030"/>
    <w:rsid w:val="008C06C8"/>
    <w:rsid w:val="008C752D"/>
    <w:rsid w:val="008D01C4"/>
    <w:rsid w:val="008D1A9C"/>
    <w:rsid w:val="008D38A9"/>
    <w:rsid w:val="008E00E6"/>
    <w:rsid w:val="008E77DA"/>
    <w:rsid w:val="008F19A5"/>
    <w:rsid w:val="008F1BA5"/>
    <w:rsid w:val="008F53CF"/>
    <w:rsid w:val="008F60DF"/>
    <w:rsid w:val="00913736"/>
    <w:rsid w:val="00920BA8"/>
    <w:rsid w:val="009253CC"/>
    <w:rsid w:val="00926420"/>
    <w:rsid w:val="009273FD"/>
    <w:rsid w:val="00931C24"/>
    <w:rsid w:val="00934491"/>
    <w:rsid w:val="00941E21"/>
    <w:rsid w:val="0094264E"/>
    <w:rsid w:val="009441D2"/>
    <w:rsid w:val="00945071"/>
    <w:rsid w:val="00945461"/>
    <w:rsid w:val="00951410"/>
    <w:rsid w:val="00952F62"/>
    <w:rsid w:val="00960BF3"/>
    <w:rsid w:val="0096644E"/>
    <w:rsid w:val="0097338E"/>
    <w:rsid w:val="00975942"/>
    <w:rsid w:val="00976C92"/>
    <w:rsid w:val="00983007"/>
    <w:rsid w:val="00985720"/>
    <w:rsid w:val="00992EE2"/>
    <w:rsid w:val="009945FF"/>
    <w:rsid w:val="009A247B"/>
    <w:rsid w:val="009A415D"/>
    <w:rsid w:val="009A5131"/>
    <w:rsid w:val="009A7F63"/>
    <w:rsid w:val="009B4FE3"/>
    <w:rsid w:val="009B62C7"/>
    <w:rsid w:val="009C298D"/>
    <w:rsid w:val="009C53D3"/>
    <w:rsid w:val="009D08A5"/>
    <w:rsid w:val="009D0F13"/>
    <w:rsid w:val="009D19EC"/>
    <w:rsid w:val="009D55C9"/>
    <w:rsid w:val="009D7029"/>
    <w:rsid w:val="009E3CDE"/>
    <w:rsid w:val="009F2A41"/>
    <w:rsid w:val="009F4797"/>
    <w:rsid w:val="009F6A98"/>
    <w:rsid w:val="00A0128E"/>
    <w:rsid w:val="00A01F79"/>
    <w:rsid w:val="00A118C2"/>
    <w:rsid w:val="00A12541"/>
    <w:rsid w:val="00A13336"/>
    <w:rsid w:val="00A27FE5"/>
    <w:rsid w:val="00A371B1"/>
    <w:rsid w:val="00A427D5"/>
    <w:rsid w:val="00A43AED"/>
    <w:rsid w:val="00A464AF"/>
    <w:rsid w:val="00A52266"/>
    <w:rsid w:val="00A54894"/>
    <w:rsid w:val="00A57990"/>
    <w:rsid w:val="00A66610"/>
    <w:rsid w:val="00A66EA3"/>
    <w:rsid w:val="00A73500"/>
    <w:rsid w:val="00A87268"/>
    <w:rsid w:val="00A90AFD"/>
    <w:rsid w:val="00A925DC"/>
    <w:rsid w:val="00A9785A"/>
    <w:rsid w:val="00AA0C30"/>
    <w:rsid w:val="00AA2B9E"/>
    <w:rsid w:val="00AA4D3F"/>
    <w:rsid w:val="00AA6B45"/>
    <w:rsid w:val="00AA711B"/>
    <w:rsid w:val="00AA7B8E"/>
    <w:rsid w:val="00AB2CC1"/>
    <w:rsid w:val="00AB3FC3"/>
    <w:rsid w:val="00AC7D26"/>
    <w:rsid w:val="00AD4D63"/>
    <w:rsid w:val="00AD5060"/>
    <w:rsid w:val="00AE0840"/>
    <w:rsid w:val="00AE0ED0"/>
    <w:rsid w:val="00AE26FB"/>
    <w:rsid w:val="00B117C3"/>
    <w:rsid w:val="00B14E03"/>
    <w:rsid w:val="00B16422"/>
    <w:rsid w:val="00B24EF6"/>
    <w:rsid w:val="00B25FF0"/>
    <w:rsid w:val="00B326C6"/>
    <w:rsid w:val="00B40D6D"/>
    <w:rsid w:val="00B416E6"/>
    <w:rsid w:val="00B445E5"/>
    <w:rsid w:val="00B460C4"/>
    <w:rsid w:val="00B503C4"/>
    <w:rsid w:val="00B603F9"/>
    <w:rsid w:val="00B720F9"/>
    <w:rsid w:val="00B73130"/>
    <w:rsid w:val="00B779E5"/>
    <w:rsid w:val="00B84161"/>
    <w:rsid w:val="00B86858"/>
    <w:rsid w:val="00B87E4C"/>
    <w:rsid w:val="00B92BE2"/>
    <w:rsid w:val="00B9461A"/>
    <w:rsid w:val="00BA24CF"/>
    <w:rsid w:val="00BA2DE1"/>
    <w:rsid w:val="00BA627A"/>
    <w:rsid w:val="00BB1205"/>
    <w:rsid w:val="00BB3EDE"/>
    <w:rsid w:val="00BB454D"/>
    <w:rsid w:val="00BB6691"/>
    <w:rsid w:val="00BC228C"/>
    <w:rsid w:val="00BC25D3"/>
    <w:rsid w:val="00BC3246"/>
    <w:rsid w:val="00BD11BF"/>
    <w:rsid w:val="00BD3731"/>
    <w:rsid w:val="00BE2ADA"/>
    <w:rsid w:val="00BE69C8"/>
    <w:rsid w:val="00BF422E"/>
    <w:rsid w:val="00BF5131"/>
    <w:rsid w:val="00C003DB"/>
    <w:rsid w:val="00C01499"/>
    <w:rsid w:val="00C03458"/>
    <w:rsid w:val="00C04024"/>
    <w:rsid w:val="00C12588"/>
    <w:rsid w:val="00C220CA"/>
    <w:rsid w:val="00C224AB"/>
    <w:rsid w:val="00C22DA3"/>
    <w:rsid w:val="00C31D6B"/>
    <w:rsid w:val="00C3294A"/>
    <w:rsid w:val="00C34B23"/>
    <w:rsid w:val="00C35CF2"/>
    <w:rsid w:val="00C36D44"/>
    <w:rsid w:val="00C46D80"/>
    <w:rsid w:val="00C47930"/>
    <w:rsid w:val="00C54079"/>
    <w:rsid w:val="00C54911"/>
    <w:rsid w:val="00C5656D"/>
    <w:rsid w:val="00C62359"/>
    <w:rsid w:val="00C63519"/>
    <w:rsid w:val="00C805BB"/>
    <w:rsid w:val="00C80E4C"/>
    <w:rsid w:val="00C8321D"/>
    <w:rsid w:val="00C85456"/>
    <w:rsid w:val="00C86F88"/>
    <w:rsid w:val="00C91A6F"/>
    <w:rsid w:val="00CA1B76"/>
    <w:rsid w:val="00CA571B"/>
    <w:rsid w:val="00CB2D4E"/>
    <w:rsid w:val="00CB3AAA"/>
    <w:rsid w:val="00CB471E"/>
    <w:rsid w:val="00CB638B"/>
    <w:rsid w:val="00CC0E2D"/>
    <w:rsid w:val="00CC5200"/>
    <w:rsid w:val="00CC5931"/>
    <w:rsid w:val="00CC5DEB"/>
    <w:rsid w:val="00CD21AF"/>
    <w:rsid w:val="00CD4CB5"/>
    <w:rsid w:val="00CE2BDB"/>
    <w:rsid w:val="00CE6A7D"/>
    <w:rsid w:val="00CE6B44"/>
    <w:rsid w:val="00CF0A2F"/>
    <w:rsid w:val="00CF40AC"/>
    <w:rsid w:val="00CF450F"/>
    <w:rsid w:val="00CF669B"/>
    <w:rsid w:val="00CF689B"/>
    <w:rsid w:val="00D0177D"/>
    <w:rsid w:val="00D0575B"/>
    <w:rsid w:val="00D07F73"/>
    <w:rsid w:val="00D10C34"/>
    <w:rsid w:val="00D11A76"/>
    <w:rsid w:val="00D24E34"/>
    <w:rsid w:val="00D30CBF"/>
    <w:rsid w:val="00D31F4D"/>
    <w:rsid w:val="00D34D95"/>
    <w:rsid w:val="00D40459"/>
    <w:rsid w:val="00D4367E"/>
    <w:rsid w:val="00D454C3"/>
    <w:rsid w:val="00D53E0F"/>
    <w:rsid w:val="00D566BD"/>
    <w:rsid w:val="00D57C7E"/>
    <w:rsid w:val="00D608F0"/>
    <w:rsid w:val="00D618C1"/>
    <w:rsid w:val="00D63B8F"/>
    <w:rsid w:val="00D75E95"/>
    <w:rsid w:val="00D77C28"/>
    <w:rsid w:val="00D8021F"/>
    <w:rsid w:val="00D86E0E"/>
    <w:rsid w:val="00D93D99"/>
    <w:rsid w:val="00DA1607"/>
    <w:rsid w:val="00DA163A"/>
    <w:rsid w:val="00DA3529"/>
    <w:rsid w:val="00DA3CFA"/>
    <w:rsid w:val="00DA5A06"/>
    <w:rsid w:val="00DA643E"/>
    <w:rsid w:val="00DB04E6"/>
    <w:rsid w:val="00DB31E2"/>
    <w:rsid w:val="00DC0B9D"/>
    <w:rsid w:val="00DC6E55"/>
    <w:rsid w:val="00DD0128"/>
    <w:rsid w:val="00DD3542"/>
    <w:rsid w:val="00E0256C"/>
    <w:rsid w:val="00E02E41"/>
    <w:rsid w:val="00E03BD4"/>
    <w:rsid w:val="00E03FC0"/>
    <w:rsid w:val="00E10195"/>
    <w:rsid w:val="00E17218"/>
    <w:rsid w:val="00E20D12"/>
    <w:rsid w:val="00E325B5"/>
    <w:rsid w:val="00E35479"/>
    <w:rsid w:val="00E37406"/>
    <w:rsid w:val="00E47BD7"/>
    <w:rsid w:val="00E539CB"/>
    <w:rsid w:val="00E5580C"/>
    <w:rsid w:val="00E56E43"/>
    <w:rsid w:val="00E56F5A"/>
    <w:rsid w:val="00E7107D"/>
    <w:rsid w:val="00E71FBF"/>
    <w:rsid w:val="00E75810"/>
    <w:rsid w:val="00E77183"/>
    <w:rsid w:val="00E82A3C"/>
    <w:rsid w:val="00E85F69"/>
    <w:rsid w:val="00E914A7"/>
    <w:rsid w:val="00E91FAB"/>
    <w:rsid w:val="00E92133"/>
    <w:rsid w:val="00E94019"/>
    <w:rsid w:val="00E94C45"/>
    <w:rsid w:val="00EA4DA3"/>
    <w:rsid w:val="00EA63AD"/>
    <w:rsid w:val="00EA7179"/>
    <w:rsid w:val="00EB1D2D"/>
    <w:rsid w:val="00EB3FB9"/>
    <w:rsid w:val="00EC741C"/>
    <w:rsid w:val="00ED42FF"/>
    <w:rsid w:val="00ED4E8B"/>
    <w:rsid w:val="00EE3F0B"/>
    <w:rsid w:val="00EF35D4"/>
    <w:rsid w:val="00EF5823"/>
    <w:rsid w:val="00EF7BDA"/>
    <w:rsid w:val="00F00EEA"/>
    <w:rsid w:val="00F149D9"/>
    <w:rsid w:val="00F16492"/>
    <w:rsid w:val="00F21752"/>
    <w:rsid w:val="00F21C43"/>
    <w:rsid w:val="00F22138"/>
    <w:rsid w:val="00F33807"/>
    <w:rsid w:val="00F342E4"/>
    <w:rsid w:val="00F455F4"/>
    <w:rsid w:val="00F5679B"/>
    <w:rsid w:val="00F57EDC"/>
    <w:rsid w:val="00F6661D"/>
    <w:rsid w:val="00F71A78"/>
    <w:rsid w:val="00F71F80"/>
    <w:rsid w:val="00F73E7C"/>
    <w:rsid w:val="00F80BCF"/>
    <w:rsid w:val="00F81921"/>
    <w:rsid w:val="00F824F3"/>
    <w:rsid w:val="00F843B2"/>
    <w:rsid w:val="00F9427A"/>
    <w:rsid w:val="00F9543B"/>
    <w:rsid w:val="00FA5398"/>
    <w:rsid w:val="00FA63F7"/>
    <w:rsid w:val="00FB68C1"/>
    <w:rsid w:val="00FC3139"/>
    <w:rsid w:val="00FD1B41"/>
    <w:rsid w:val="00FE3FA7"/>
    <w:rsid w:val="00FE5B69"/>
    <w:rsid w:val="00FF0F2D"/>
    <w:rsid w:val="00FF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0E"/>
    <w:rPr>
      <w:sz w:val="24"/>
      <w:szCs w:val="24"/>
    </w:rPr>
  </w:style>
  <w:style w:type="paragraph" w:styleId="1">
    <w:name w:val="heading 1"/>
    <w:basedOn w:val="a"/>
    <w:next w:val="a"/>
    <w:qFormat/>
    <w:rsid w:val="0015460E"/>
    <w:pPr>
      <w:keepNext/>
      <w:tabs>
        <w:tab w:val="left" w:pos="3380"/>
      </w:tabs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5460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5460E"/>
    <w:pPr>
      <w:keepNext/>
      <w:ind w:left="-54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15460E"/>
    <w:pPr>
      <w:keepNext/>
      <w:ind w:left="-54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460E"/>
    <w:pPr>
      <w:ind w:left="-540"/>
    </w:pPr>
    <w:rPr>
      <w:sz w:val="28"/>
    </w:rPr>
  </w:style>
  <w:style w:type="paragraph" w:styleId="20">
    <w:name w:val="Body Text Indent 2"/>
    <w:basedOn w:val="a"/>
    <w:semiHidden/>
    <w:rsid w:val="0015460E"/>
    <w:pPr>
      <w:ind w:left="-360"/>
    </w:pPr>
    <w:rPr>
      <w:sz w:val="32"/>
    </w:rPr>
  </w:style>
  <w:style w:type="paragraph" w:styleId="a5">
    <w:name w:val="header"/>
    <w:basedOn w:val="a"/>
    <w:link w:val="a6"/>
    <w:uiPriority w:val="99"/>
    <w:semiHidden/>
    <w:unhideWhenUsed/>
    <w:rsid w:val="00A87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A87268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87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A87268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9D7029"/>
    <w:rPr>
      <w:sz w:val="28"/>
      <w:szCs w:val="24"/>
    </w:rPr>
  </w:style>
  <w:style w:type="paragraph" w:styleId="a9">
    <w:name w:val="No Spacing"/>
    <w:uiPriority w:val="1"/>
    <w:qFormat/>
    <w:rsid w:val="001E33E0"/>
    <w:rPr>
      <w:sz w:val="24"/>
      <w:szCs w:val="24"/>
    </w:rPr>
  </w:style>
  <w:style w:type="table" w:styleId="aa">
    <w:name w:val="Table Grid"/>
    <w:basedOn w:val="a1"/>
    <w:uiPriority w:val="59"/>
    <w:rsid w:val="007848E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D3F46-2690-4B64-BD13-DAD647AC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по налогам и сборам Дергачевского муниципального района за 2008 год</vt:lpstr>
    </vt:vector>
  </TitlesOfParts>
  <Company>МФ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по налогам и сборам Дергачевского муниципального района за 2008 год</dc:title>
  <dc:creator>МФ</dc:creator>
  <cp:lastModifiedBy>User</cp:lastModifiedBy>
  <cp:revision>48</cp:revision>
  <cp:lastPrinted>2015-04-13T13:47:00Z</cp:lastPrinted>
  <dcterms:created xsi:type="dcterms:W3CDTF">2021-04-13T07:42:00Z</dcterms:created>
  <dcterms:modified xsi:type="dcterms:W3CDTF">2024-05-28T06:23:00Z</dcterms:modified>
</cp:coreProperties>
</file>