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F6" w:rsidRDefault="009F30F6" w:rsidP="009F30F6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F30F6" w:rsidRDefault="009F30F6" w:rsidP="009F30F6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proofErr w:type="spellStart"/>
      <w:r w:rsidRPr="00A81E17">
        <w:rPr>
          <w:rStyle w:val="a3"/>
          <w:sz w:val="28"/>
          <w:szCs w:val="28"/>
        </w:rPr>
        <w:t>Сафаровского</w:t>
      </w:r>
      <w:proofErr w:type="spellEnd"/>
      <w:r>
        <w:rPr>
          <w:rStyle w:val="a3"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9F30F6" w:rsidRPr="00E27C9A" w:rsidRDefault="009F30F6" w:rsidP="009F30F6">
      <w:pPr>
        <w:spacing w:line="28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 п. Дергачи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bookmarkStart w:id="1" w:name="_GoBack"/>
      <w:bookmarkEnd w:id="1"/>
      <w:r>
        <w:rPr>
          <w:rFonts w:eastAsia="Calibri"/>
          <w:sz w:val="28"/>
          <w:szCs w:val="28"/>
        </w:rPr>
        <w:t>15 апреля 2026</w:t>
      </w:r>
      <w:r w:rsidRPr="00E27C9A">
        <w:rPr>
          <w:rFonts w:eastAsia="Calibri"/>
          <w:sz w:val="28"/>
          <w:szCs w:val="28"/>
        </w:rPr>
        <w:t xml:space="preserve"> года</w:t>
      </w:r>
    </w:p>
    <w:p w:rsidR="009F30F6" w:rsidRDefault="009F30F6" w:rsidP="009F30F6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 xml:space="preserve">временно </w:t>
      </w:r>
      <w:proofErr w:type="spellStart"/>
      <w:r>
        <w:rPr>
          <w:rFonts w:eastAsia="Calibri"/>
          <w:sz w:val="28"/>
          <w:szCs w:val="28"/>
        </w:rPr>
        <w:t>исолняющей</w:t>
      </w:r>
      <w:proofErr w:type="spellEnd"/>
      <w:r>
        <w:rPr>
          <w:rFonts w:eastAsia="Calibri"/>
          <w:sz w:val="28"/>
          <w:szCs w:val="28"/>
        </w:rPr>
        <w:t xml:space="preserve">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 xml:space="preserve">Зотовой Л.В., 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нии бюджета </w:t>
      </w:r>
      <w:proofErr w:type="spellStart"/>
      <w:r w:rsidRPr="00CB19E5">
        <w:rPr>
          <w:rFonts w:eastAsia="Calibri"/>
          <w:sz w:val="28"/>
          <w:szCs w:val="28"/>
        </w:rPr>
        <w:t>Сафаровского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 w:rsidRPr="00CB19E5">
        <w:rPr>
          <w:rFonts w:eastAsia="Calibri"/>
          <w:sz w:val="28"/>
          <w:szCs w:val="28"/>
        </w:rPr>
        <w:t>Срок провед</w:t>
      </w:r>
      <w:r w:rsidRPr="00CB19E5">
        <w:rPr>
          <w:rFonts w:eastAsia="Calibri"/>
          <w:sz w:val="28"/>
          <w:szCs w:val="28"/>
        </w:rPr>
        <w:t>е</w:t>
      </w:r>
      <w:r w:rsidRPr="00CB19E5">
        <w:rPr>
          <w:rFonts w:eastAsia="Calibri"/>
          <w:sz w:val="28"/>
          <w:szCs w:val="28"/>
        </w:rPr>
        <w:t>ния проверки: с 1 апреля 202</w:t>
      </w:r>
      <w:r>
        <w:rPr>
          <w:rFonts w:eastAsia="Calibri"/>
          <w:sz w:val="28"/>
          <w:szCs w:val="28"/>
        </w:rPr>
        <w:t>6</w:t>
      </w:r>
      <w:r w:rsidRPr="00CB19E5">
        <w:rPr>
          <w:rFonts w:eastAsia="Calibri"/>
          <w:sz w:val="28"/>
          <w:szCs w:val="28"/>
        </w:rPr>
        <w:t xml:space="preserve"> по</w:t>
      </w:r>
      <w:r>
        <w:rPr>
          <w:sz w:val="28"/>
          <w:szCs w:val="28"/>
        </w:rPr>
        <w:t xml:space="preserve">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proofErr w:type="spellStart"/>
      <w:r w:rsidRPr="00A81E17">
        <w:rPr>
          <w:rStyle w:val="a3"/>
          <w:b w:val="0"/>
          <w:sz w:val="28"/>
          <w:szCs w:val="28"/>
        </w:rPr>
        <w:t>Сафаровского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статьи 264.4 Бюджетного кодекса Российской Федерации. 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Анализ форм бюджетной отчетности осуществлялся в рамках порядка её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ставления, а оценка на основании обобщенных показателей содержащихся в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четности путем суммирования одноименных показателей и исключения в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новленном Приказом Минфина РФ от 28 декабря 2010 г. №191н "Об утверждении Инструкции о порядке составления и представления годовой, квартальной и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дерации" (далее – Приказ </w:t>
      </w:r>
      <w:r>
        <w:rPr>
          <w:sz w:val="28"/>
          <w:szCs w:val="28"/>
        </w:rPr>
        <w:t>№191н) порядке</w:t>
      </w:r>
      <w:proofErr w:type="gramEnd"/>
      <w:r>
        <w:rPr>
          <w:sz w:val="28"/>
          <w:szCs w:val="28"/>
        </w:rPr>
        <w:t xml:space="preserve"> взаимосвязанных показателей по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циям консолидируемых форм.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9F30F6" w:rsidRDefault="009F30F6" w:rsidP="009F30F6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 финансирования дефицита бюджета;</w:t>
      </w:r>
    </w:p>
    <w:p w:rsidR="009F30F6" w:rsidRDefault="009F30F6" w:rsidP="009F30F6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9F30F6" w:rsidRDefault="009F30F6" w:rsidP="009F30F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9F30F6" w:rsidRDefault="009F30F6" w:rsidP="009F30F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9F30F6" w:rsidRDefault="009F30F6" w:rsidP="009F30F6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 об исполнении бюджета главного распорядителя (распорядителя),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бюджетных средств, главного администратора, администратора доходов бюджета, администратора источников финансирования дефицита бюджета;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принятых бюджетных обязательствах;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proofErr w:type="spellStart"/>
      <w:r w:rsidRPr="00A81E17">
        <w:rPr>
          <w:rStyle w:val="a3"/>
          <w:b w:val="0"/>
          <w:sz w:val="28"/>
          <w:szCs w:val="28"/>
        </w:rPr>
        <w:t>Сафаровского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представленный к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верке оформлен в соответствии с п. 4 Приказа №191н. 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9F30F6" w:rsidRDefault="009F30F6" w:rsidP="009F30F6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sz w:val="28"/>
          <w:szCs w:val="28"/>
        </w:rPr>
      </w:pPr>
    </w:p>
    <w:p w:rsidR="009F30F6" w:rsidRDefault="009F30F6" w:rsidP="009F30F6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«Отчёт о финансовых результатах деятельности» ф. 0503121 </w:t>
      </w:r>
    </w:p>
    <w:p w:rsidR="009F30F6" w:rsidRDefault="009F30F6" w:rsidP="009F30F6">
      <w:pPr>
        <w:spacing w:line="28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Отчет о финансовых результатах деятельности </w:t>
      </w:r>
      <w:hyperlink r:id="rId4" w:anchor="sub_503121" w:history="1">
        <w:r>
          <w:rPr>
            <w:rStyle w:val="a4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ции.  Проверкой показателей </w:t>
      </w:r>
      <w:hyperlink r:id="rId5" w:anchor="sub_503121" w:history="1">
        <w:r>
          <w:rPr>
            <w:rStyle w:val="a4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ф. 0503127 «Отчет об исполнении бюджета главного распорядителя, распорядителя,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9F30F6" w:rsidRDefault="009F30F6" w:rsidP="009F30F6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9F30F6" w:rsidRDefault="009F30F6" w:rsidP="009F30F6">
      <w:pPr>
        <w:spacing w:line="288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9F30F6" w:rsidRDefault="009F30F6" w:rsidP="009F30F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</w:t>
      </w:r>
      <w:proofErr w:type="spellStart"/>
      <w:r w:rsidRPr="00A81E17">
        <w:rPr>
          <w:rStyle w:val="a3"/>
          <w:b w:val="0"/>
          <w:sz w:val="28"/>
          <w:szCs w:val="28"/>
        </w:rPr>
        <w:t>Сафаровского</w:t>
      </w:r>
      <w:proofErr w:type="spellEnd"/>
      <w:r>
        <w:rPr>
          <w:sz w:val="28"/>
          <w:szCs w:val="28"/>
        </w:rPr>
        <w:t xml:space="preserve"> муниципального образования на 2025 год» утвержденной главой администрации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учетом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них изменений внесенных Решением Совета </w:t>
      </w:r>
      <w:proofErr w:type="spellStart"/>
      <w:r w:rsidRPr="00A81E17">
        <w:rPr>
          <w:rStyle w:val="a3"/>
          <w:b w:val="0"/>
          <w:sz w:val="28"/>
          <w:szCs w:val="28"/>
        </w:rPr>
        <w:t>Сафаровского</w:t>
      </w:r>
      <w:proofErr w:type="spellEnd"/>
      <w:r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от 20 декабря 2025 года №421-679 расхождений не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лено. </w:t>
      </w:r>
    </w:p>
    <w:p w:rsidR="009F30F6" w:rsidRDefault="009F30F6" w:rsidP="009F30F6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9F30F6" w:rsidRDefault="009F30F6" w:rsidP="009F30F6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внешняя проверка годовой бюджетной отчетности дает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полагать, что отчетность </w:t>
      </w:r>
      <w:proofErr w:type="spellStart"/>
      <w:r w:rsidRPr="00A81E17">
        <w:rPr>
          <w:rStyle w:val="a3"/>
          <w:b w:val="0"/>
          <w:sz w:val="28"/>
          <w:szCs w:val="28"/>
        </w:rPr>
        <w:t>Сафаровского</w:t>
      </w:r>
      <w:proofErr w:type="spellEnd"/>
      <w:r>
        <w:rPr>
          <w:sz w:val="28"/>
          <w:szCs w:val="28"/>
        </w:rPr>
        <w:t xml:space="preserve"> муниципального образования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 достоверна. В отчетности соблюдены основные контрольные соотношения,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новленные требованиями Министерства финансов Российской Федерации. </w:t>
      </w:r>
      <w:r>
        <w:rPr>
          <w:sz w:val="28"/>
          <w:szCs w:val="28"/>
        </w:rPr>
        <w:tab/>
      </w:r>
    </w:p>
    <w:p w:rsidR="009F30F6" w:rsidRDefault="009F30F6" w:rsidP="009F30F6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 изменяя мнения о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представленной к проверке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четности, Контрольно-счётный орган обращает внимание на необходимость проведения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участниками бюджетного процесса по соблюдению бюджетного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при исполнении бюджета, надлежащему ведению бюджетного учета и качественному составлению бюджетной отчетности.</w:t>
      </w:r>
    </w:p>
    <w:p w:rsidR="00415747" w:rsidRDefault="00415747" w:rsidP="009F30F6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1245D7" w:rsidRDefault="009F30F6" w:rsidP="009F30F6">
      <w:pPr>
        <w:spacing w:line="288" w:lineRule="auto"/>
        <w:jc w:val="both"/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574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Л.В. Зотова</w:t>
      </w:r>
      <w:r>
        <w:rPr>
          <w:sz w:val="28"/>
          <w:szCs w:val="28"/>
        </w:rPr>
        <w:tab/>
      </w:r>
    </w:p>
    <w:sectPr w:rsidR="001245D7" w:rsidSect="001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F30F6"/>
    <w:rsid w:val="001245D7"/>
    <w:rsid w:val="00415747"/>
    <w:rsid w:val="008769A9"/>
    <w:rsid w:val="009C6F6C"/>
    <w:rsid w:val="009F30F6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F30F6"/>
    <w:rPr>
      <w:b/>
      <w:bCs/>
    </w:rPr>
  </w:style>
  <w:style w:type="character" w:styleId="a4">
    <w:name w:val="Hyperlink"/>
    <w:basedOn w:val="a0"/>
    <w:uiPriority w:val="99"/>
    <w:rsid w:val="009F30F6"/>
    <w:rPr>
      <w:color w:val="0000FF"/>
      <w:u w:val="single"/>
    </w:rPr>
  </w:style>
  <w:style w:type="character" w:customStyle="1" w:styleId="1">
    <w:name w:val="Заголовок №1_"/>
    <w:link w:val="10"/>
    <w:locked/>
    <w:rsid w:val="009F30F6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F30F6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4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3</cp:revision>
  <dcterms:created xsi:type="dcterms:W3CDTF">2026-04-13T05:29:00Z</dcterms:created>
  <dcterms:modified xsi:type="dcterms:W3CDTF">2026-04-13T05:36:00Z</dcterms:modified>
</cp:coreProperties>
</file>