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83" w:rsidRDefault="00382683" w:rsidP="00382683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82683" w:rsidRDefault="00382683" w:rsidP="00382683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r>
        <w:rPr>
          <w:rStyle w:val="a4"/>
          <w:sz w:val="28"/>
          <w:szCs w:val="28"/>
        </w:rPr>
        <w:t>Советского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382683" w:rsidRDefault="00382683" w:rsidP="00382683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 xml:space="preserve">временно </w:t>
      </w:r>
      <w:proofErr w:type="spellStart"/>
      <w:r>
        <w:rPr>
          <w:rFonts w:eastAsia="Calibri"/>
          <w:sz w:val="28"/>
          <w:szCs w:val="28"/>
        </w:rPr>
        <w:t>исполняющнй</w:t>
      </w:r>
      <w:proofErr w:type="spellEnd"/>
      <w:r>
        <w:rPr>
          <w:rFonts w:eastAsia="Calibri"/>
          <w:sz w:val="28"/>
          <w:szCs w:val="28"/>
        </w:rPr>
        <w:t xml:space="preserve">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Зотовой Л.В.,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нии бюджета Советского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проведения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r w:rsidRPr="002D4B81">
        <w:rPr>
          <w:rStyle w:val="a4"/>
          <w:b w:val="0"/>
          <w:sz w:val="28"/>
          <w:szCs w:val="28"/>
        </w:rPr>
        <w:t>Советского</w:t>
      </w:r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составления, а оценка на основании обобщенных показателей содержащихся в отчетности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382683" w:rsidRDefault="00382683" w:rsidP="0038268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382683" w:rsidRDefault="00382683" w:rsidP="0038268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382683" w:rsidRDefault="00382683" w:rsidP="0038268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382683" w:rsidRDefault="00382683" w:rsidP="0038268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382683" w:rsidRDefault="00382683" w:rsidP="00382683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отчет о принятых бюджетных обязательствах;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2D4B81">
        <w:rPr>
          <w:rStyle w:val="a4"/>
          <w:b w:val="0"/>
          <w:sz w:val="28"/>
          <w:szCs w:val="28"/>
        </w:rPr>
        <w:t>Советского</w:t>
      </w:r>
      <w:r>
        <w:rPr>
          <w:rFonts w:eastAsia="Calibri"/>
          <w:sz w:val="28"/>
          <w:szCs w:val="28"/>
        </w:rPr>
        <w:t xml:space="preserve"> муниципального </w:t>
      </w:r>
      <w:proofErr w:type="gramStart"/>
      <w:r>
        <w:rPr>
          <w:rFonts w:eastAsia="Calibri"/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представленный 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верке оформлен в соответствии с п. 4 Приказа №191н. 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382683" w:rsidRDefault="00382683" w:rsidP="00382683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382683" w:rsidRDefault="00382683" w:rsidP="00382683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382683" w:rsidRDefault="00382683" w:rsidP="00382683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382683" w:rsidRDefault="00382683" w:rsidP="0038268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4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</w:t>
      </w:r>
      <w:r>
        <w:rPr>
          <w:sz w:val="28"/>
          <w:szCs w:val="28"/>
        </w:rPr>
        <w:lastRenderedPageBreak/>
        <w:t xml:space="preserve">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382683" w:rsidRDefault="00382683" w:rsidP="00382683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382683" w:rsidRDefault="00382683" w:rsidP="00382683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382683" w:rsidRDefault="00382683" w:rsidP="00382683">
      <w:pPr>
        <w:spacing w:line="288" w:lineRule="auto"/>
        <w:ind w:firstLine="567"/>
        <w:jc w:val="both"/>
        <w:rPr>
          <w:sz w:val="28"/>
          <w:szCs w:val="28"/>
        </w:rPr>
      </w:pPr>
    </w:p>
    <w:p w:rsidR="00382683" w:rsidRDefault="00382683" w:rsidP="0038268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r w:rsidRPr="002D4B81">
        <w:rPr>
          <w:rStyle w:val="a4"/>
          <w:b w:val="0"/>
          <w:sz w:val="28"/>
          <w:szCs w:val="28"/>
        </w:rPr>
        <w:t>Советского</w:t>
      </w:r>
      <w:r>
        <w:rPr>
          <w:sz w:val="28"/>
          <w:szCs w:val="28"/>
        </w:rPr>
        <w:t xml:space="preserve"> муниципального образования на 2025 год» утвержденной главой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учетом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следних изменений внесенных Решением Совета </w:t>
      </w:r>
      <w:r w:rsidRPr="002D4B81">
        <w:rPr>
          <w:rStyle w:val="a4"/>
          <w:b w:val="0"/>
          <w:sz w:val="28"/>
          <w:szCs w:val="28"/>
        </w:rPr>
        <w:t>Советского</w:t>
      </w:r>
      <w:r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от 20 декабря 2025 года №325-766 расхождений не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лено. </w:t>
      </w:r>
    </w:p>
    <w:p w:rsidR="00382683" w:rsidRDefault="00382683" w:rsidP="00382683">
      <w:pPr>
        <w:spacing w:line="288" w:lineRule="auto"/>
        <w:ind w:firstLine="567"/>
        <w:jc w:val="both"/>
        <w:rPr>
          <w:sz w:val="28"/>
          <w:szCs w:val="28"/>
        </w:rPr>
      </w:pPr>
    </w:p>
    <w:p w:rsidR="00382683" w:rsidRDefault="00382683" w:rsidP="00382683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382683" w:rsidRDefault="00382683" w:rsidP="00382683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382683" w:rsidRDefault="00382683" w:rsidP="00382683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внешняя проверка годовой бюджетной отчетности дает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полагать, что отчетность </w:t>
      </w:r>
      <w:r w:rsidRPr="002D4B81">
        <w:rPr>
          <w:rStyle w:val="a4"/>
          <w:b w:val="0"/>
          <w:sz w:val="28"/>
          <w:szCs w:val="28"/>
        </w:rPr>
        <w:t>Советского</w:t>
      </w:r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достоверна. В отчетности соблюдены основные контрольные соотношения,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новленные требованиями Министерства финансов Российской Федерации. </w:t>
      </w:r>
      <w:r>
        <w:rPr>
          <w:sz w:val="28"/>
          <w:szCs w:val="28"/>
        </w:rPr>
        <w:tab/>
      </w:r>
    </w:p>
    <w:p w:rsidR="00382683" w:rsidRDefault="00382683" w:rsidP="00382683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отчетности, Контрольно-счётный орган обращает внимание на необходимость проведения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участниками бюджетного процесса по соблюдению бюджетного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при исполнении бюджета, надлежащему ведению бюджетного учета и качественному составлению бюджетной отчетности.</w:t>
      </w:r>
    </w:p>
    <w:p w:rsidR="00382683" w:rsidRDefault="00382683" w:rsidP="00382683">
      <w:pPr>
        <w:spacing w:line="288" w:lineRule="auto"/>
        <w:jc w:val="both"/>
        <w:rPr>
          <w:sz w:val="28"/>
          <w:szCs w:val="28"/>
        </w:rPr>
      </w:pPr>
    </w:p>
    <w:p w:rsidR="00382683" w:rsidRDefault="00382683" w:rsidP="00382683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Л.В. Зотова </w:t>
      </w:r>
    </w:p>
    <w:p w:rsidR="00382683" w:rsidRDefault="00382683" w:rsidP="00382683">
      <w:pPr>
        <w:tabs>
          <w:tab w:val="left" w:pos="1198"/>
        </w:tabs>
        <w:spacing w:line="288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45D7" w:rsidRDefault="001245D7"/>
    <w:sectPr w:rsidR="001245D7" w:rsidSect="0066200F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382683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382683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382683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   </w:t>
    </w:r>
    <w:r>
      <w:rPr>
        <w:rStyle w:val="a7"/>
      </w:rPr>
      <w:t xml:space="preserve">                                                         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F254B" w:rsidRDefault="00382683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382683" w:rsidP="00D3411A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82683"/>
    <w:rsid w:val="001245D7"/>
    <w:rsid w:val="00382683"/>
    <w:rsid w:val="009364B3"/>
    <w:rsid w:val="009C6F6C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268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382683"/>
    <w:rPr>
      <w:b/>
      <w:bCs/>
    </w:rPr>
  </w:style>
  <w:style w:type="paragraph" w:styleId="a5">
    <w:name w:val="footer"/>
    <w:basedOn w:val="a"/>
    <w:link w:val="a6"/>
    <w:rsid w:val="00382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26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82683"/>
  </w:style>
  <w:style w:type="character" w:styleId="a8">
    <w:name w:val="Hyperlink"/>
    <w:basedOn w:val="a0"/>
    <w:uiPriority w:val="99"/>
    <w:rsid w:val="00382683"/>
    <w:rPr>
      <w:color w:val="0000FF"/>
      <w:u w:val="single"/>
    </w:rPr>
  </w:style>
  <w:style w:type="character" w:customStyle="1" w:styleId="1">
    <w:name w:val="Заголовок №1_"/>
    <w:link w:val="10"/>
    <w:locked/>
    <w:rsid w:val="00382683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82683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2</cp:revision>
  <dcterms:created xsi:type="dcterms:W3CDTF">2026-04-13T05:37:00Z</dcterms:created>
  <dcterms:modified xsi:type="dcterms:W3CDTF">2026-04-13T05:42:00Z</dcterms:modified>
</cp:coreProperties>
</file>