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nsPlusNormal"/>
        <w:jc w:val="center"/>
        <w:rPr>
          <w:rFonts w:ascii="PT Astra Serif" w:hAnsi="PT Astra Serif"/>
          <w:sz w:val="24"/>
          <w:szCs w:val="24"/>
        </w:rPr>
      </w:pPr>
      <w:bookmarkStart w:id="0" w:name="P249"/>
      <w:bookmarkEnd w:id="0"/>
      <w:r>
        <w:rPr>
          <w:rFonts w:ascii="PT Astra Serif" w:hAnsi="PT Astra Serif"/>
          <w:b/>
          <w:sz w:val="24"/>
          <w:szCs w:val="24"/>
        </w:rPr>
        <w:t>Карточка</w:t>
      </w:r>
    </w:p>
    <w:p>
      <w:pPr>
        <w:pStyle w:val="ConsPlus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свободной производственной площадки и оборудования,</w:t>
      </w:r>
    </w:p>
    <w:p>
      <w:pPr>
        <w:pStyle w:val="ConsPlus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территории для застройки</w:t>
      </w:r>
    </w:p>
    <w:p>
      <w:pPr>
        <w:pStyle w:val="ConsPlus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tbl>
      <w:tblPr>
        <w:tblW w:w="5000" w:type="pct"/>
        <w:jc w:val="left"/>
        <w:tblInd w:w="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643"/>
        <w:gridCol w:w="2313"/>
        <w:gridCol w:w="2502"/>
        <w:gridCol w:w="3211"/>
        <w:gridCol w:w="2565"/>
        <w:gridCol w:w="4163"/>
      </w:tblGrid>
      <w:tr>
        <w:trPr/>
        <w:tc>
          <w:tcPr>
            <w:tcW w:w="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№ </w:t>
            </w:r>
            <w:r>
              <w:rPr>
                <w:rFonts w:ascii="PT Astra Serif" w:hAnsi="PT Astra Serif"/>
                <w:sz w:val="24"/>
                <w:szCs w:val="24"/>
              </w:rPr>
              <w:t>п/п</w:t>
            </w:r>
          </w:p>
        </w:tc>
        <w:tc>
          <w:tcPr>
            <w:tcW w:w="14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numPr>
                <w:ilvl w:val="0"/>
                <w:numId w:val="0"/>
              </w:numPr>
              <w:ind w:left="0" w:hanging="0"/>
              <w:jc w:val="center"/>
              <w:outlineLvl w:val="2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Общая информация</w:t>
            </w:r>
          </w:p>
        </w:tc>
      </w:tr>
      <w:tr>
        <w:trPr/>
        <w:tc>
          <w:tcPr>
            <w:tcW w:w="6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наименование площадки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категория земель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вид разрешенного использования земельного участка</w:t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Дергачевское МО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PT Astra Serif" w:hAnsi="PT Astra Serif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Земельный участок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NewRomanPSMT" w:hAnsi="TimesNewRomanPSMT"/>
                <w:sz w:val="28"/>
                <w:szCs w:val="24"/>
                <w:lang w:eastAsia="zh-CN"/>
              </w:rPr>
              <w:t>64:10:060353:2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PT Astra Serif" w:hAnsi="PT Astra Serif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Под зданием магазина</w:t>
            </w:r>
          </w:p>
        </w:tc>
      </w:tr>
    </w:tbl>
    <w:p>
      <w:pPr>
        <w:pStyle w:val="ConsPlus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ConsPlusNormal"/>
        <w:numPr>
          <w:ilvl w:val="0"/>
          <w:numId w:val="0"/>
        </w:numPr>
        <w:ind w:left="0" w:hanging="0"/>
        <w:jc w:val="center"/>
        <w:outlineLvl w:val="2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Основные сведения о площадке</w:t>
      </w:r>
    </w:p>
    <w:p>
      <w:pPr>
        <w:pStyle w:val="ConsPlus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tbl>
      <w:tblPr>
        <w:tblW w:w="15405" w:type="dxa"/>
        <w:jc w:val="left"/>
        <w:tblInd w:w="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3264"/>
        <w:gridCol w:w="1788"/>
        <w:gridCol w:w="1729"/>
        <w:gridCol w:w="1537"/>
        <w:gridCol w:w="1103"/>
        <w:gridCol w:w="4138"/>
        <w:gridCol w:w="1845"/>
      </w:tblGrid>
      <w:tr>
        <w:trPr/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Собственник (юридическое лицо, индивидуальный предприниматель, физическое лицо, муниципальное образование, субъект Российской Федерации, федеральный орган государственной власти)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Юридический адрес, телефон, e-mail, сайт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Контактное лицо (Ф.И.О., должность)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Телефон, e-mail контактного лица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Форма сделки (аренда/продажа)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Порядок определения стоимости - для муниципальной и государственной форм собственности (постановление/решение собрания № __)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Формат площадки (земельный участок/производственная площадка/нежилое здание/помещение)</w:t>
            </w:r>
          </w:p>
        </w:tc>
      </w:tr>
      <w:tr>
        <w:trPr/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rPr>
                <w:rFonts w:ascii="PT Astra Serif" w:hAnsi="PT Astra Serif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ИП Саитова Венера Сабирвна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rPr>
                <w:rFonts w:ascii="PT Astra Serif" w:hAnsi="PT Astra Serif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Шек Денис Борисович, инвеступолномоченный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rPr/>
            </w:pPr>
            <w:r>
              <w:rPr/>
              <w:t>89271257734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Calibri" w:hAnsi="Calibri" w:asciiTheme="minorHAnsi" w:hAnsiTheme="minorHAnsi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Аренда</w:t>
            </w:r>
            <w:r>
              <w:rPr>
                <w:rFonts w:asciiTheme="minorHAnsi" w:hAnsiTheme="minorHAnsi"/>
                <w:sz w:val="24"/>
                <w:szCs w:val="24"/>
              </w:rPr>
              <w:t>/продажа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Рыночная стоимость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Земельный участок</w:t>
            </w:r>
          </w:p>
        </w:tc>
      </w:tr>
    </w:tbl>
    <w:p>
      <w:pPr>
        <w:pStyle w:val="ConsPlus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tbl>
      <w:tblPr>
        <w:tblW w:w="5000" w:type="pct"/>
        <w:jc w:val="left"/>
        <w:tblInd w:w="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1735"/>
        <w:gridCol w:w="1284"/>
        <w:gridCol w:w="4940"/>
        <w:gridCol w:w="1860"/>
        <w:gridCol w:w="2372"/>
        <w:gridCol w:w="1605"/>
        <w:gridCol w:w="1601"/>
      </w:tblGrid>
      <w:tr>
        <w:trPr/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Адрес площадки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Площадь (кв. м)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Форма владения землей и зданиями (частная/муниципальная/государственная до разграничения/федеральная/государственная субъекта Российской Федерации)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Возможность расширения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Ближайшие производственные объекты и расстояние до них (км)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Расстояние до ближайших жилых домов (км)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Наличие ограждений</w:t>
            </w:r>
          </w:p>
        </w:tc>
      </w:tr>
      <w:tr>
        <w:trPr/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rPr>
                <w:rFonts w:ascii="PT Astra Serif" w:hAnsi="PT Astra Serif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Дергачи, пл. М. Горького, д 11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PT Astra Serif" w:hAnsi="PT Astra Serif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689+/- 18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Частная собственность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rPr>
                <w:rFonts w:ascii="PT Astra Serif" w:hAnsi="PT Astra Serif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0,2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</w:tr>
    </w:tbl>
    <w:p>
      <w:pPr>
        <w:pStyle w:val="ConsPlus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ConsPlusNormal"/>
        <w:numPr>
          <w:ilvl w:val="0"/>
          <w:numId w:val="0"/>
        </w:numPr>
        <w:ind w:left="0" w:hanging="0"/>
        <w:jc w:val="center"/>
        <w:outlineLvl w:val="2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Удаленность участка (в км) от:</w:t>
      </w:r>
    </w:p>
    <w:p>
      <w:pPr>
        <w:pStyle w:val="ConsPlus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tbl>
      <w:tblPr>
        <w:tblW w:w="5000" w:type="pct"/>
        <w:jc w:val="left"/>
        <w:tblInd w:w="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928"/>
        <w:gridCol w:w="5088"/>
        <w:gridCol w:w="1736"/>
        <w:gridCol w:w="1771"/>
        <w:gridCol w:w="1609"/>
        <w:gridCol w:w="2265"/>
      </w:tblGrid>
      <w:tr>
        <w:trPr/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Центра Саратовской области</w:t>
            </w: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Центра другого ближайшего субъекта Российской Федерации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Ближайшего города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Автодороги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Железной дороги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Речного порта, пристани</w:t>
            </w:r>
          </w:p>
        </w:tc>
      </w:tr>
      <w:tr>
        <w:trPr/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г. Саратов - 238</w:t>
            </w: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г. Самара - 338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г. Ершов- 40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федеральная трасса 298 Саратов-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ст. Алтата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</w:tbl>
    <w:p>
      <w:pPr>
        <w:pStyle w:val="ConsPlus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ConsPlusNormal"/>
        <w:numPr>
          <w:ilvl w:val="0"/>
          <w:numId w:val="0"/>
        </w:numPr>
        <w:ind w:left="0" w:hanging="0"/>
        <w:jc w:val="center"/>
        <w:outlineLvl w:val="2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Характеристика инфраструктуры</w:t>
      </w:r>
    </w:p>
    <w:p>
      <w:pPr>
        <w:pStyle w:val="ConsPlus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tbl>
      <w:tblPr>
        <w:tblW w:w="15405" w:type="dxa"/>
        <w:jc w:val="left"/>
        <w:tblInd w:w="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692"/>
        <w:gridCol w:w="1988"/>
        <w:gridCol w:w="1597"/>
        <w:gridCol w:w="1665"/>
        <w:gridCol w:w="1599"/>
        <w:gridCol w:w="1291"/>
        <w:gridCol w:w="1528"/>
        <w:gridCol w:w="1308"/>
        <w:gridCol w:w="1735"/>
      </w:tblGrid>
      <w:tr>
        <w:trPr/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Наименование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Газоснабжение (куб. м/час)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Отопление (Гкал/час)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Электроэнергия (кВт)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Водоснабжение (куб. м/год)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Канализация (куб. м/год)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Очистные сооружения (куб./год)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Котельные установки (кВт)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Вывоз ТКО</w:t>
            </w:r>
          </w:p>
        </w:tc>
      </w:tr>
      <w:tr>
        <w:trPr/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Мощность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Отсутствует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Отсутствует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Отсутствует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Отсутствуют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Отсутствуют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Отсутствует</w:t>
            </w:r>
          </w:p>
        </w:tc>
      </w:tr>
      <w:tr>
        <w:trPr/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Расстояние до точки подключения (км)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rPr>
                <w:rFonts w:ascii="PT Astra Serif" w:hAnsi="PT Astra Serif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0 км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 км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/>
            </w:pPr>
            <w:r>
              <w:rPr/>
              <w:t>0 км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jc w:val="center"/>
              <w:rPr/>
            </w:pPr>
            <w:r>
              <w:rPr/>
              <w:t>0.1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Наименование объекта подключения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/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Наименование компании-поставщика услуг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ООО «Газпром межрегионгаз Саратов» отделение Ершовскому, Дергачевскому, Озинскому районам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ООО «Саратовэнерго»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Саратовоблресурс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АО «Ситиматик»</w:t>
            </w:r>
          </w:p>
        </w:tc>
      </w:tr>
      <w:tr>
        <w:trPr/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Контактное лицо (Ф.И.О., должность, телефон, e-mail)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Бурлаков Владимир Павлович</w:t>
            </w:r>
            <w:r>
              <w:rPr>
                <w:rFonts w:ascii="PT Astra Serif" w:hAnsi="PT Astra Serif"/>
                <w:sz w:val="24"/>
                <w:szCs w:val="24"/>
              </w:rPr>
              <w:t xml:space="preserve">, начальник отделения </w:t>
            </w:r>
          </w:p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тел. 8 (845</w:t>
            </w:r>
            <w:r>
              <w:rPr>
                <w:rFonts w:ascii="PT Astra Serif" w:hAnsi="PT Astra Serif"/>
                <w:sz w:val="24"/>
                <w:szCs w:val="24"/>
              </w:rPr>
              <w:t>64</w:t>
            </w:r>
            <w:r>
              <w:rPr>
                <w:rFonts w:ascii="PT Astra Serif" w:hAnsi="PT Astra Serif"/>
                <w:sz w:val="24"/>
                <w:szCs w:val="24"/>
              </w:rPr>
              <w:t xml:space="preserve">) </w:t>
            </w:r>
            <w:r>
              <w:rPr>
                <w:rFonts w:ascii="PT Astra Serif" w:hAnsi="PT Astra Serif"/>
                <w:sz w:val="24"/>
                <w:szCs w:val="24"/>
              </w:rPr>
              <w:t>58049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/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/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Тарифы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9,0-10,0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8,25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55,25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15,23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Тарифы установлены постановлением №35/111 от 18.12.2020 г. «Об установлении единого тарифа на услугу регионального оператора по обращению с ТКО по Зоне деятельности 1 для Саратовского филиала АО «СИТИМАТИК» Комитета государственного регулирования тарифов Саратовской области</w:t>
            </w:r>
          </w:p>
        </w:tc>
      </w:tr>
    </w:tbl>
    <w:p>
      <w:pPr>
        <w:pStyle w:val="ConsPlus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ConsPlusNormal"/>
        <w:numPr>
          <w:ilvl w:val="0"/>
          <w:numId w:val="0"/>
        </w:numPr>
        <w:ind w:left="0" w:hanging="0"/>
        <w:jc w:val="center"/>
        <w:outlineLvl w:val="2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ConsPlusNormal"/>
        <w:numPr>
          <w:ilvl w:val="0"/>
          <w:numId w:val="0"/>
        </w:numPr>
        <w:ind w:left="0" w:hanging="0"/>
        <w:jc w:val="center"/>
        <w:outlineLvl w:val="2"/>
        <w:rPr>
          <w:rFonts w:ascii="PT Astra Serif" w:hAnsi="PT Astra Serif"/>
          <w:sz w:val="24"/>
          <w:szCs w:val="24"/>
        </w:rPr>
      </w:pPr>
      <w:r>
        <w:rPr/>
      </w:r>
    </w:p>
    <w:p>
      <w:pPr>
        <w:pStyle w:val="ConsPlusNormal"/>
        <w:numPr>
          <w:ilvl w:val="0"/>
          <w:numId w:val="0"/>
        </w:numPr>
        <w:ind w:left="0" w:hanging="0"/>
        <w:jc w:val="center"/>
        <w:outlineLvl w:val="2"/>
        <w:rPr>
          <w:rFonts w:ascii="PT Astra Serif" w:hAnsi="PT Astra Serif"/>
          <w:sz w:val="24"/>
          <w:szCs w:val="24"/>
        </w:rPr>
      </w:pPr>
      <w:r>
        <w:rPr/>
      </w:r>
    </w:p>
    <w:p>
      <w:pPr>
        <w:pStyle w:val="ConsPlusNormal"/>
        <w:numPr>
          <w:ilvl w:val="0"/>
          <w:numId w:val="0"/>
        </w:numPr>
        <w:ind w:left="0" w:hanging="0"/>
        <w:jc w:val="center"/>
        <w:outlineLvl w:val="2"/>
        <w:rPr>
          <w:rFonts w:ascii="PT Astra Serif" w:hAnsi="PT Astra Serif"/>
          <w:sz w:val="24"/>
          <w:szCs w:val="24"/>
        </w:rPr>
      </w:pPr>
      <w:r>
        <w:rPr/>
      </w:r>
    </w:p>
    <w:p>
      <w:pPr>
        <w:pStyle w:val="ConsPlusNormal"/>
        <w:numPr>
          <w:ilvl w:val="0"/>
          <w:numId w:val="0"/>
        </w:numPr>
        <w:ind w:left="0" w:hanging="0"/>
        <w:jc w:val="center"/>
        <w:outlineLvl w:val="2"/>
        <w:rPr>
          <w:rFonts w:ascii="PT Astra Serif" w:hAnsi="PT Astra Serif"/>
          <w:sz w:val="24"/>
          <w:szCs w:val="24"/>
        </w:rPr>
      </w:pPr>
      <w:r>
        <w:rPr/>
      </w:r>
    </w:p>
    <w:p>
      <w:pPr>
        <w:pStyle w:val="ConsPlusNormal"/>
        <w:numPr>
          <w:ilvl w:val="0"/>
          <w:numId w:val="0"/>
        </w:numPr>
        <w:ind w:left="0" w:hanging="0"/>
        <w:jc w:val="center"/>
        <w:outlineLvl w:val="2"/>
        <w:rPr>
          <w:rFonts w:ascii="PT Astra Serif" w:hAnsi="PT Astra Serif"/>
          <w:sz w:val="24"/>
          <w:szCs w:val="24"/>
        </w:rPr>
      </w:pPr>
      <w:r>
        <w:rPr/>
      </w:r>
    </w:p>
    <w:p>
      <w:pPr>
        <w:pStyle w:val="ConsPlusNormal"/>
        <w:numPr>
          <w:ilvl w:val="0"/>
          <w:numId w:val="0"/>
        </w:numPr>
        <w:ind w:left="0" w:hanging="0"/>
        <w:jc w:val="center"/>
        <w:outlineLvl w:val="2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Основные параметры зданий и сооружений,</w:t>
      </w:r>
    </w:p>
    <w:p>
      <w:pPr>
        <w:pStyle w:val="ConsPlus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расположенных на площадке</w:t>
      </w:r>
    </w:p>
    <w:p>
      <w:pPr>
        <w:pStyle w:val="ConsPlus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tbl>
      <w:tblPr>
        <w:tblW w:w="5000" w:type="pct"/>
        <w:jc w:val="left"/>
        <w:tblInd w:w="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100"/>
        <w:gridCol w:w="1222"/>
        <w:gridCol w:w="1417"/>
        <w:gridCol w:w="1025"/>
        <w:gridCol w:w="1930"/>
        <w:gridCol w:w="1612"/>
        <w:gridCol w:w="1712"/>
        <w:gridCol w:w="2060"/>
        <w:gridCol w:w="2318"/>
      </w:tblGrid>
      <w:tr>
        <w:trPr/>
        <w:tc>
          <w:tcPr>
            <w:tcW w:w="110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2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Дополнительная информация о площадке, фото- и видеоматериалы</w:t>
            </w:r>
          </w:p>
        </w:tc>
      </w:tr>
      <w:tr>
        <w:trPr/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наименование здания, сооружения, помещения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площадь (кв. м)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этажность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высота этажа (м)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строительный материал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износ (процентов)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возможность расширения</w:t>
            </w:r>
          </w:p>
        </w:tc>
        <w:tc>
          <w:tcPr>
            <w:tcW w:w="20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W w:w="23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rPr/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Здание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368,3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нет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rPr>
                <w:rFonts w:ascii="PT Astra Serif" w:hAnsi="PT Astra Serif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Ритейл, общепит, сфера услуг.</w:t>
            </w:r>
          </w:p>
          <w:p>
            <w:pPr>
              <w:pStyle w:val="Style18"/>
              <w:widowControl w:val="false"/>
              <w:spacing w:lineRule="auto" w:line="240" w:before="0" w:after="0"/>
              <w:rPr>
                <w:rFonts w:ascii="PT Astra Serif" w:hAnsi="PT Astra Serif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 xml:space="preserve">Площадка </w:t>
            </w: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универсальная, подойдет под разный бизнес.</w:t>
            </w:r>
          </w:p>
          <w:p>
            <w:pPr>
              <w:pStyle w:val="Style18"/>
              <w:widowControl w:val="false"/>
              <w:spacing w:lineRule="auto" w:line="240" w:before="0" w:after="0"/>
              <w:rPr>
                <w:rFonts w:ascii="PT Astra Serif" w:hAnsi="PT Astra Serif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Т</w:t>
            </w:r>
            <w:r>
              <w:rPr>
                <w:rFonts w:eastAsia="Times New Roman" w:cs="Times New Roman" w:ascii="PT Astra Serif" w:hAnsi="PT Astra Serif"/>
                <w:sz w:val="24"/>
                <w:szCs w:val="24"/>
                <w:lang w:eastAsia="zh-CN"/>
              </w:rPr>
              <w:t>ребование — экологичность.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pacing w:lineRule="auto" w:line="240" w:before="0"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Здание архитектурного наследия, в центре рп Дергачи, с видом на площадь М. Горького</w:t>
            </w:r>
          </w:p>
        </w:tc>
      </w:tr>
    </w:tbl>
    <w:p>
      <w:pPr>
        <w:pStyle w:val="ConsPlusNormal"/>
        <w:jc w:val="both"/>
        <w:rPr>
          <w:rFonts w:ascii="PT Astra Serif" w:hAnsi="PT Astra Serif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2430145</wp:posOffset>
            </wp:positionH>
            <wp:positionV relativeFrom="paragraph">
              <wp:posOffset>409575</wp:posOffset>
            </wp:positionV>
            <wp:extent cx="4803140" cy="35928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720" w:right="720" w:gutter="0" w:header="0" w:top="720" w:footer="0" w:bottom="720"/>
      <w:pgNumType w:fmt="decimal"/>
      <w:formProt w:val="false"/>
      <w:titlePg/>
      <w:textDirection w:val="lrTb"/>
      <w:docGrid w:type="default" w:linePitch="299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empora LGC Uni">
    <w:charset w:val="cc"/>
    <w:family w:val="swiss"/>
    <w:pitch w:val="variable"/>
  </w:font>
  <w:font w:name="Open Sans">
    <w:charset w:val="cc"/>
    <w:family w:val="roman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PT Astra Serif">
    <w:charset w:val="cc"/>
    <w:family w:val="roman"/>
    <w:pitch w:val="variable"/>
  </w:font>
  <w:font w:name="TimesNewRomanPSMT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d7bd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Style13"/>
    <w:next w:val="Style14"/>
    <w:qFormat/>
    <w:pPr>
      <w:spacing w:before="200" w:after="120"/>
      <w:outlineLvl w:val="1"/>
    </w:pPr>
    <w:rPr>
      <w:rFonts w:ascii="Tempora LGC Uni" w:hAnsi="Tempora LGC Uni" w:eastAsia="Open Sans" w:cs="FreeSerif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rPr>
      <w:color w:val="000080"/>
      <w:u w:val="single"/>
    </w:rPr>
  </w:style>
  <w:style w:type="paragraph" w:styleId="Style13" w:customStyle="1">
    <w:name w:val="Заголовок"/>
    <w:basedOn w:val="Normal"/>
    <w:next w:val="Style14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4">
    <w:name w:val="Body Text"/>
    <w:basedOn w:val="Normal"/>
    <w:pPr>
      <w:spacing w:before="0" w:after="140"/>
    </w:pPr>
    <w:rPr/>
  </w:style>
  <w:style w:type="paragraph" w:styleId="Style15">
    <w:name w:val="List"/>
    <w:basedOn w:val="Style14"/>
    <w:pPr/>
    <w:rPr>
      <w:rFonts w:cs="Lohit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Lohit Devanagari"/>
    </w:rPr>
  </w:style>
  <w:style w:type="paragraph" w:styleId="ConsPlusNormal" w:customStyle="1">
    <w:name w:val="ConsPlusNormal"/>
    <w:qFormat/>
    <w:rsid w:val="001a15c3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" w:cs="Calibri" w:eastAsiaTheme="minorEastAsia"/>
      <w:color w:val="auto"/>
      <w:kern w:val="0"/>
      <w:sz w:val="22"/>
      <w:szCs w:val="22"/>
      <w:lang w:val="ru-RU" w:eastAsia="ru-RU" w:bidi="ar-SA"/>
    </w:rPr>
  </w:style>
  <w:style w:type="paragraph" w:styleId="ConsPlusNonformat" w:customStyle="1">
    <w:name w:val="ConsPlusNonformat"/>
    <w:qFormat/>
    <w:rsid w:val="001a15c3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" w:cs="Courier New" w:eastAsiaTheme="minorEastAsia"/>
      <w:color w:val="auto"/>
      <w:kern w:val="0"/>
      <w:sz w:val="20"/>
      <w:szCs w:val="22"/>
      <w:lang w:val="ru-RU" w:eastAsia="ru-RU" w:bidi="ar-SA"/>
    </w:rPr>
  </w:style>
  <w:style w:type="paragraph" w:styleId="ConsPlusTitle" w:customStyle="1">
    <w:name w:val="ConsPlusTitle"/>
    <w:qFormat/>
    <w:rsid w:val="001a15c3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" w:cs="Calibri" w:eastAsiaTheme="minorEastAsia"/>
      <w:b/>
      <w:color w:val="auto"/>
      <w:kern w:val="0"/>
      <w:sz w:val="22"/>
      <w:szCs w:val="22"/>
      <w:lang w:val="ru-RU" w:eastAsia="ru-RU" w:bidi="ar-SA"/>
    </w:rPr>
  </w:style>
  <w:style w:type="paragraph" w:styleId="ConsPlusCell" w:customStyle="1">
    <w:name w:val="ConsPlusCell"/>
    <w:qFormat/>
    <w:rsid w:val="001a15c3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" w:cs="Courier New" w:eastAsiaTheme="minorEastAsia"/>
      <w:color w:val="auto"/>
      <w:kern w:val="0"/>
      <w:sz w:val="20"/>
      <w:szCs w:val="22"/>
      <w:lang w:val="ru-RU" w:eastAsia="ru-RU" w:bidi="ar-SA"/>
    </w:rPr>
  </w:style>
  <w:style w:type="paragraph" w:styleId="ConsPlusDocList" w:customStyle="1">
    <w:name w:val="ConsPlusDocList"/>
    <w:qFormat/>
    <w:rsid w:val="001a15c3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" w:cs="Calibri" w:eastAsiaTheme="minorEastAsia"/>
      <w:color w:val="auto"/>
      <w:kern w:val="0"/>
      <w:sz w:val="22"/>
      <w:szCs w:val="22"/>
      <w:lang w:val="ru-RU" w:eastAsia="ru-RU" w:bidi="ar-SA"/>
    </w:rPr>
  </w:style>
  <w:style w:type="paragraph" w:styleId="ConsPlusTitlePage" w:customStyle="1">
    <w:name w:val="ConsPlusTitlePage"/>
    <w:qFormat/>
    <w:rsid w:val="001a15c3"/>
    <w:pPr>
      <w:widowControl w:val="false"/>
      <w:suppressAutoHyphens w:val="true"/>
      <w:bidi w:val="0"/>
      <w:spacing w:before="0" w:after="0"/>
      <w:jc w:val="left"/>
    </w:pPr>
    <w:rPr>
      <w:rFonts w:ascii="Tahoma" w:hAnsi="Tahoma" w:eastAsia="" w:cs="Tahoma" w:eastAsiaTheme="minorEastAsia"/>
      <w:color w:val="auto"/>
      <w:kern w:val="0"/>
      <w:sz w:val="20"/>
      <w:szCs w:val="22"/>
      <w:lang w:val="ru-RU" w:eastAsia="ru-RU" w:bidi="ar-SA"/>
    </w:rPr>
  </w:style>
  <w:style w:type="paragraph" w:styleId="ConsPlusJurTerm" w:customStyle="1">
    <w:name w:val="ConsPlusJurTerm"/>
    <w:qFormat/>
    <w:rsid w:val="001a15c3"/>
    <w:pPr>
      <w:widowControl w:val="false"/>
      <w:suppressAutoHyphens w:val="true"/>
      <w:bidi w:val="0"/>
      <w:spacing w:before="0" w:after="0"/>
      <w:jc w:val="left"/>
    </w:pPr>
    <w:rPr>
      <w:rFonts w:ascii="Tahoma" w:hAnsi="Tahoma" w:eastAsia="" w:cs="Tahoma" w:eastAsiaTheme="minorEastAsia"/>
      <w:color w:val="auto"/>
      <w:kern w:val="0"/>
      <w:sz w:val="26"/>
      <w:szCs w:val="22"/>
      <w:lang w:val="ru-RU" w:eastAsia="ru-RU" w:bidi="ar-SA"/>
    </w:rPr>
  </w:style>
  <w:style w:type="paragraph" w:styleId="ConsPlusTextList" w:customStyle="1">
    <w:name w:val="ConsPlusTextList"/>
    <w:qFormat/>
    <w:rsid w:val="001a15c3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" w:cs="Arial" w:eastAsiaTheme="minorEastAsia"/>
      <w:color w:val="auto"/>
      <w:kern w:val="0"/>
      <w:sz w:val="20"/>
      <w:szCs w:val="22"/>
      <w:lang w:val="ru-RU" w:eastAsia="ru-RU" w:bidi="ar-SA"/>
    </w:rPr>
  </w:style>
  <w:style w:type="paragraph" w:styleId="Style18" w:customStyle="1">
    <w:name w:val="Содержимое таблицы"/>
    <w:basedOn w:val="Normal"/>
    <w:qFormat/>
    <w:pPr>
      <w:suppressLineNumbers/>
    </w:pPr>
    <w:rPr/>
  </w:style>
  <w:style w:type="paragraph" w:styleId="Style19" w:customStyle="1">
    <w:name w:val="Заголовок таблицы"/>
    <w:basedOn w:val="Style18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3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Application>LibreOffice/7.5.1.2$Windows_x86 LibreOffice_project/fcbaee479e84c6cd81291587d2ee68cba099e129</Application>
  <AppVersion>15.0000</AppVersion>
  <Pages>4</Pages>
  <Words>410</Words>
  <Characters>2965</Characters>
  <CharactersWithSpaces>3242</CharactersWithSpaces>
  <Paragraphs>136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2024-03-29T04:29:00Z</dcterms:created>
  <dc:creator>Белова Елена Петровна</dc:creator>
  <dc:description/>
  <dc:language>ru-RU</dc:language>
  <cp:lastModifiedBy/>
  <dcterms:modified xsi:type="dcterms:W3CDTF">2024-09-06T15:02:51Z</dcterms:modified>
  <cp:revision>29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