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before="0"/>
        <w:ind/>
        <w:rPr>
          <w:rFonts w:ascii="Times New Roman" w:hAnsi="Times New Roman"/>
          <w:b w:val="0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СОВЕТ</w:t>
      </w:r>
    </w:p>
    <w:p w14:paraId="02000000">
      <w:pPr>
        <w:pStyle w:val="Style_1"/>
        <w:spacing w:before="0"/>
        <w:ind/>
        <w:rPr>
          <w:rFonts w:ascii="Times New Roman" w:hAnsi="Times New Roman"/>
          <w:b w:val="0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ДЕРГАЧЕВСКОГО МУНИЦИПАЛЬНОГО ОБРАЗОВАНИЯ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ДЕРГАЧЕВСКОГО МУНИЦИПАЛЬНОГО РАЙОНА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САРАТОВСКОЙ ОБЛАСТИ</w:t>
      </w:r>
    </w:p>
    <w:p w14:paraId="05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</w:t>
      </w:r>
      <w:r>
        <w:rPr>
          <w:sz w:val="18"/>
        </w:rPr>
        <w:tab/>
      </w:r>
      <w:r>
        <w:rPr>
          <w:sz w:val="18"/>
        </w:rPr>
        <w:t xml:space="preserve">               </w:t>
      </w:r>
      <w:r>
        <w:rPr>
          <w:sz w:val="18"/>
        </w:rPr>
        <w:t xml:space="preserve">                                                             </w:t>
      </w:r>
    </w:p>
    <w:p w14:paraId="06000000">
      <w:pPr>
        <w:rPr>
          <w:sz w:val="18"/>
        </w:rPr>
      </w:pPr>
      <w:r>
        <w:rPr>
          <w:sz w:val="18"/>
        </w:rPr>
        <w:t xml:space="preserve">                                                </w:t>
      </w:r>
      <w:r>
        <w:rPr>
          <w:sz w:val="18"/>
        </w:rPr>
        <w:t xml:space="preserve">                                                                                            </w:t>
      </w:r>
      <w:r>
        <w:rPr>
          <w:sz w:val="18"/>
        </w:rPr>
        <w:t xml:space="preserve">  413440 Саратовская область                                                                                                                                        </w:t>
      </w:r>
      <w:r>
        <w:rPr>
          <w:sz w:val="18"/>
        </w:rPr>
        <w:t xml:space="preserve">                     </w:t>
      </w:r>
    </w:p>
    <w:p w14:paraId="07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р\п  Дергачи, ул. М.Горького,4</w:t>
      </w:r>
    </w:p>
    <w:p w14:paraId="08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тел: </w:t>
      </w:r>
      <w:r>
        <w:rPr>
          <w:sz w:val="18"/>
        </w:rPr>
        <w:tab/>
      </w:r>
      <w:r>
        <w:rPr>
          <w:sz w:val="18"/>
        </w:rPr>
        <w:t>(845-63) 2-91-33</w:t>
      </w:r>
    </w:p>
    <w:p w14:paraId="09000000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</w:t>
      </w:r>
      <w:r>
        <w:rPr>
          <w:sz w:val="18"/>
        </w:rPr>
        <w:tab/>
      </w:r>
      <w:r>
        <w:rPr>
          <w:sz w:val="18"/>
        </w:rPr>
        <w:t xml:space="preserve">  факс:</w:t>
      </w:r>
      <w:r>
        <w:rPr>
          <w:sz w:val="18"/>
        </w:rPr>
        <w:tab/>
      </w:r>
      <w:r>
        <w:rPr>
          <w:sz w:val="18"/>
        </w:rPr>
        <w:t>(845-63) 2-91-38</w:t>
      </w:r>
    </w:p>
    <w:p w14:paraId="0A000000">
      <w:pPr>
        <w:pStyle w:val="Style_2"/>
        <w:rPr>
          <w:sz w:val="23"/>
        </w:rPr>
      </w:pPr>
      <w:r>
        <w:rPr>
          <w:sz w:val="23"/>
        </w:rPr>
        <w:t xml:space="preserve">  </w:t>
      </w:r>
    </w:p>
    <w:p w14:paraId="0B000000">
      <w:pPr>
        <w:pStyle w:val="Style_2"/>
        <w:ind w:firstLine="708" w:left="708"/>
        <w:jc w:val="left"/>
      </w:pPr>
      <w:r>
        <w:t xml:space="preserve">               </w:t>
      </w:r>
    </w:p>
    <w:p w14:paraId="0C000000">
      <w:pPr>
        <w:pStyle w:val="Style_2"/>
        <w:ind w:firstLine="708" w:left="708"/>
        <w:jc w:val="left"/>
      </w:pPr>
      <w:r>
        <w:t xml:space="preserve">             РЕШЕНИЕ  №</w:t>
      </w:r>
      <w:r>
        <w:t xml:space="preserve"> 30-69</w:t>
      </w:r>
    </w:p>
    <w:p w14:paraId="0D000000">
      <w:pPr>
        <w:pStyle w:val="Style_2"/>
        <w:ind w:firstLine="708" w:left="708"/>
        <w:jc w:val="left"/>
      </w:pPr>
      <w:r>
        <w:t xml:space="preserve">    </w:t>
      </w:r>
    </w:p>
    <w:p w14:paraId="0E000000">
      <w:pPr>
        <w:pStyle w:val="Style_2"/>
        <w:ind w:firstLine="708" w:left="708"/>
        <w:jc w:val="left"/>
      </w:pPr>
      <w:r>
        <w:t xml:space="preserve">            от 13 октября 2023г.</w:t>
      </w:r>
    </w:p>
    <w:p w14:paraId="0F000000">
      <w:pPr>
        <w:pStyle w:val="Style_3"/>
        <w:rPr>
          <w:sz w:val="28"/>
        </w:rPr>
      </w:pPr>
    </w:p>
    <w:p w14:paraId="10000000">
      <w:pPr>
        <w:pStyle w:val="Style_3"/>
        <w:rPr>
          <w:sz w:val="28"/>
        </w:rPr>
      </w:pPr>
      <w:r>
        <w:rPr>
          <w:sz w:val="28"/>
        </w:rPr>
        <w:t xml:space="preserve">Об утверждении Положения о </w:t>
      </w:r>
      <w:r>
        <w:rPr>
          <w:sz w:val="28"/>
        </w:rPr>
        <w:t>порядке</w:t>
      </w:r>
    </w:p>
    <w:p w14:paraId="11000000">
      <w:pPr>
        <w:pStyle w:val="Style_3"/>
        <w:rPr>
          <w:sz w:val="28"/>
        </w:rPr>
      </w:pPr>
      <w:r>
        <w:rPr>
          <w:sz w:val="28"/>
        </w:rPr>
        <w:t xml:space="preserve">предоставления из бюджета Дергачевского </w:t>
      </w:r>
    </w:p>
    <w:p w14:paraId="12000000">
      <w:pPr>
        <w:pStyle w:val="Style_3"/>
        <w:rPr>
          <w:sz w:val="28"/>
        </w:rPr>
      </w:pPr>
      <w:r>
        <w:rPr>
          <w:sz w:val="28"/>
        </w:rPr>
        <w:t xml:space="preserve">муниципального </w:t>
      </w:r>
      <w:r>
        <w:rPr>
          <w:sz w:val="28"/>
        </w:rPr>
        <w:t>образования</w:t>
      </w:r>
    </w:p>
    <w:p w14:paraId="13000000">
      <w:pPr>
        <w:pStyle w:val="Style_3"/>
        <w:rPr>
          <w:sz w:val="28"/>
        </w:rPr>
      </w:pPr>
      <w:r>
        <w:rPr>
          <w:sz w:val="28"/>
        </w:rPr>
        <w:t xml:space="preserve">межбюджетных трансфертов в форме </w:t>
      </w:r>
    </w:p>
    <w:p w14:paraId="14000000">
      <w:pPr>
        <w:pStyle w:val="Style_3"/>
        <w:rPr>
          <w:sz w:val="28"/>
        </w:rPr>
      </w:pPr>
      <w:r>
        <w:rPr>
          <w:sz w:val="28"/>
        </w:rPr>
        <w:t xml:space="preserve">субсидии бюджету </w:t>
      </w:r>
      <w:r>
        <w:rPr>
          <w:sz w:val="28"/>
        </w:rPr>
        <w:t xml:space="preserve">Дергачевского </w:t>
      </w:r>
    </w:p>
    <w:p w14:paraId="15000000">
      <w:pPr>
        <w:pStyle w:val="Style_3"/>
        <w:rPr>
          <w:sz w:val="28"/>
        </w:rPr>
      </w:pPr>
      <w:r>
        <w:rPr>
          <w:sz w:val="28"/>
        </w:rPr>
        <w:t>муниципального района</w:t>
      </w:r>
      <w:r>
        <w:rPr>
          <w:sz w:val="28"/>
        </w:rPr>
        <w:t xml:space="preserve"> и</w:t>
      </w:r>
      <w:r>
        <w:rPr>
          <w:sz w:val="28"/>
        </w:rPr>
        <w:t xml:space="preserve"> </w:t>
      </w:r>
    </w:p>
    <w:p w14:paraId="16000000">
      <w:pPr>
        <w:pStyle w:val="Style_3"/>
        <w:rPr>
          <w:sz w:val="28"/>
        </w:rPr>
      </w:pPr>
      <w:r>
        <w:rPr>
          <w:sz w:val="28"/>
        </w:rPr>
        <w:t xml:space="preserve">Соглашения о передаче </w:t>
      </w:r>
      <w:r>
        <w:rPr>
          <w:sz w:val="28"/>
        </w:rPr>
        <w:t>субсидии</w:t>
      </w:r>
    </w:p>
    <w:p w14:paraId="17000000">
      <w:pPr>
        <w:pStyle w:val="Style_3"/>
        <w:rPr>
          <w:sz w:val="28"/>
        </w:rPr>
      </w:pPr>
      <w:r>
        <w:rPr>
          <w:sz w:val="28"/>
        </w:rPr>
        <w:t xml:space="preserve"> бюджету муниципального района</w:t>
      </w:r>
    </w:p>
    <w:p w14:paraId="18000000">
      <w:pPr>
        <w:pStyle w:val="Style_3"/>
        <w:rPr>
          <w:b w:val="1"/>
          <w:sz w:val="28"/>
        </w:rPr>
      </w:pPr>
    </w:p>
    <w:p w14:paraId="19000000">
      <w:pPr>
        <w:ind w:firstLine="709"/>
        <w:jc w:val="both"/>
        <w:rPr>
          <w:sz w:val="28"/>
        </w:rPr>
      </w:pPr>
    </w:p>
    <w:p w14:paraId="1A000000">
      <w:pPr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Руководствуясь </w:t>
      </w:r>
      <w:r>
        <w:rPr>
          <w:sz w:val="28"/>
        </w:rPr>
        <w:t xml:space="preserve"> Федеральным законо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 xml:space="preserve">№131-ФЗ «Об общих принципах организации местного самоуправления </w:t>
      </w:r>
      <w:r>
        <w:rPr>
          <w:sz w:val="28"/>
        </w:rPr>
        <w:t xml:space="preserve">в Российской Федерации» и Уставом </w:t>
      </w:r>
      <w:r>
        <w:rPr>
          <w:sz w:val="28"/>
        </w:rPr>
        <w:t xml:space="preserve">Дергачевского  муниципального  образования </w:t>
      </w:r>
      <w:r>
        <w:rPr>
          <w:sz w:val="28"/>
        </w:rPr>
        <w:t>Дергачевского муниципального района Саратовской области</w:t>
      </w:r>
      <w:r>
        <w:rPr>
          <w:sz w:val="28"/>
        </w:rPr>
        <w:t xml:space="preserve">, </w:t>
      </w:r>
      <w:r>
        <w:rPr>
          <w:sz w:val="28"/>
        </w:rPr>
        <w:t xml:space="preserve"> </w:t>
      </w:r>
    </w:p>
    <w:p w14:paraId="1B000000">
      <w:pPr>
        <w:pStyle w:val="Style_3"/>
        <w:ind/>
        <w:jc w:val="both"/>
        <w:rPr>
          <w:sz w:val="28"/>
        </w:rPr>
      </w:pPr>
    </w:p>
    <w:p w14:paraId="1C000000">
      <w:pPr>
        <w:pStyle w:val="Style_3"/>
        <w:ind/>
        <w:jc w:val="center"/>
        <w:rPr>
          <w:sz w:val="28"/>
        </w:rPr>
      </w:pPr>
      <w:r>
        <w:rPr>
          <w:sz w:val="28"/>
        </w:rPr>
        <w:t>СОВЕТ РЕШИЛ</w:t>
      </w:r>
      <w:r>
        <w:rPr>
          <w:sz w:val="28"/>
        </w:rPr>
        <w:t>:</w:t>
      </w:r>
    </w:p>
    <w:p w14:paraId="1D000000">
      <w:pPr>
        <w:pStyle w:val="Style_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Положение о </w:t>
      </w:r>
      <w:r>
        <w:rPr>
          <w:rFonts w:ascii="Times New Roman" w:hAnsi="Times New Roman"/>
          <w:sz w:val="28"/>
        </w:rPr>
        <w:t xml:space="preserve">порядке </w:t>
      </w:r>
      <w:r>
        <w:rPr>
          <w:rFonts w:ascii="Times New Roman" w:hAnsi="Times New Roman"/>
          <w:sz w:val="28"/>
        </w:rPr>
        <w:t xml:space="preserve">предоставления из бюджета Дергачевского муниципального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межбюджетных трансфертов в 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бюджету </w:t>
      </w:r>
      <w:r>
        <w:rPr>
          <w:rFonts w:ascii="Times New Roman" w:hAnsi="Times New Roman"/>
          <w:sz w:val="28"/>
        </w:rPr>
        <w:t xml:space="preserve">Дергачевского муниципального района Саратовской  области в целях </w:t>
      </w:r>
      <w:r>
        <w:rPr>
          <w:rFonts w:ascii="Times New Roman" w:hAnsi="Times New Roman"/>
          <w:sz w:val="28"/>
        </w:rPr>
        <w:t>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поддержку учреждений отрасли «Образование»</w:t>
      </w:r>
      <w:r>
        <w:rPr>
          <w:rFonts w:ascii="Times New Roman" w:hAnsi="Times New Roman"/>
          <w:sz w:val="28"/>
        </w:rPr>
        <w:t>, «Культура»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Администрация Дергачевского муниципального района (содержание работников аппарата городского поселения)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(приложение 1 к  решению)</w:t>
      </w:r>
      <w:r>
        <w:rPr>
          <w:rFonts w:ascii="Times New Roman" w:hAnsi="Times New Roman"/>
          <w:sz w:val="28"/>
        </w:rPr>
        <w:t>.</w:t>
      </w:r>
    </w:p>
    <w:p w14:paraId="1E000000">
      <w:pPr>
        <w:pStyle w:val="Style_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2.Утвердить форму Соглашения о предоставлении межбюджетных трансфертов </w:t>
      </w:r>
      <w:r>
        <w:rPr>
          <w:rFonts w:ascii="Times New Roman" w:hAnsi="Times New Roman"/>
          <w:sz w:val="28"/>
        </w:rPr>
        <w:t xml:space="preserve">в форме субсидии </w:t>
      </w:r>
      <w:r>
        <w:rPr>
          <w:rFonts w:ascii="Times New Roman" w:hAnsi="Times New Roman"/>
          <w:sz w:val="28"/>
        </w:rPr>
        <w:t>из бюджета Дергачевского муниципального образования бюджету Дергачевского муниципального района, на поддержку</w:t>
      </w:r>
      <w:r>
        <w:rPr>
          <w:rFonts w:ascii="Times New Roman" w:hAnsi="Times New Roman"/>
          <w:sz w:val="28"/>
        </w:rPr>
        <w:t xml:space="preserve"> отрасли «Образование», «Культура»,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расположенных на территории Дергачевского муниципального образования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Администрация Дергачевского муниципального района</w:t>
      </w:r>
      <w:r>
        <w:rPr>
          <w:rFonts w:ascii="Times New Roman" w:hAnsi="Times New Roman"/>
          <w:sz w:val="28"/>
        </w:rPr>
        <w:t xml:space="preserve">, расположенных на территории Дергачевского муниципального района (приложение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 решению)</w:t>
      </w:r>
    </w:p>
    <w:p w14:paraId="1F000000">
      <w:pPr>
        <w:ind w:firstLine="567"/>
        <w:jc w:val="both"/>
        <w:rPr>
          <w:sz w:val="28"/>
        </w:rPr>
      </w:pPr>
      <w:r>
        <w:rPr>
          <w:sz w:val="28"/>
        </w:rPr>
        <w:t>3.П</w:t>
      </w:r>
      <w:r>
        <w:rPr>
          <w:sz w:val="28"/>
        </w:rPr>
        <w:t xml:space="preserve">роизвести передачу межбюджетных трансфертов </w:t>
      </w:r>
      <w:r>
        <w:rPr>
          <w:sz w:val="28"/>
        </w:rPr>
        <w:t xml:space="preserve">в форме субсидии </w:t>
      </w:r>
      <w:r>
        <w:rPr>
          <w:sz w:val="28"/>
        </w:rPr>
        <w:t>в сумме 10 770 143, 50</w:t>
      </w:r>
      <w:r>
        <w:rPr>
          <w:sz w:val="28"/>
        </w:rPr>
        <w:t xml:space="preserve"> </w:t>
      </w:r>
      <w:r>
        <w:rPr>
          <w:sz w:val="28"/>
        </w:rPr>
        <w:t xml:space="preserve"> рублей</w:t>
      </w:r>
      <w:r>
        <w:rPr>
          <w:sz w:val="28"/>
        </w:rPr>
        <w:t>,</w:t>
      </w:r>
      <w:r>
        <w:rPr>
          <w:sz w:val="28"/>
        </w:rPr>
        <w:t xml:space="preserve"> согласно заключенного  Соглашения</w:t>
      </w:r>
    </w:p>
    <w:p w14:paraId="20000000">
      <w:pPr>
        <w:ind w:firstLine="567"/>
        <w:jc w:val="both"/>
        <w:rPr>
          <w:sz w:val="28"/>
        </w:rPr>
      </w:pPr>
    </w:p>
    <w:p w14:paraId="21000000">
      <w:pPr>
        <w:ind w:firstLine="567"/>
        <w:jc w:val="both"/>
        <w:rPr>
          <w:sz w:val="28"/>
        </w:rPr>
      </w:pPr>
    </w:p>
    <w:p w14:paraId="22000000">
      <w:pPr>
        <w:ind w:firstLine="567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Опубликовать </w:t>
      </w:r>
      <w:r>
        <w:rPr>
          <w:sz w:val="28"/>
        </w:rPr>
        <w:t>данное решение на официальном сайте администрации Дергачевского муниципального района</w:t>
      </w:r>
      <w:r>
        <w:rPr>
          <w:sz w:val="28"/>
        </w:rPr>
        <w:t>.</w:t>
      </w:r>
    </w:p>
    <w:p w14:paraId="23000000">
      <w:pPr>
        <w:pStyle w:val="Style_5"/>
        <w:ind w:firstLine="491" w:left="360"/>
        <w:jc w:val="both"/>
        <w:rPr>
          <w:sz w:val="28"/>
        </w:rPr>
      </w:pPr>
    </w:p>
    <w:p w14:paraId="24000000">
      <w:pPr>
        <w:rPr>
          <w:b w:val="1"/>
          <w:sz w:val="28"/>
          <w:highlight w:val="yellow"/>
        </w:rPr>
      </w:pPr>
      <w:r>
        <w:rPr>
          <w:b w:val="1"/>
          <w:sz w:val="28"/>
          <w:highlight w:val="yellow"/>
        </w:rPr>
        <w:t xml:space="preserve">Глава Дергачевского </w:t>
      </w:r>
    </w:p>
    <w:p w14:paraId="25000000">
      <w:pPr>
        <w:rPr>
          <w:b w:val="1"/>
          <w:sz w:val="28"/>
        </w:rPr>
      </w:pPr>
      <w:r>
        <w:rPr>
          <w:b w:val="1"/>
          <w:sz w:val="28"/>
          <w:highlight w:val="yellow"/>
        </w:rPr>
        <w:t>му</w:t>
      </w:r>
      <w:r>
        <w:rPr>
          <w:b w:val="1"/>
          <w:sz w:val="28"/>
          <w:highlight w:val="yellow"/>
        </w:rPr>
        <w:t>ниципального образования</w:t>
      </w:r>
      <w:r>
        <w:rPr>
          <w:b w:val="1"/>
          <w:sz w:val="28"/>
          <w:highlight w:val="yellow"/>
        </w:rPr>
        <w:tab/>
      </w:r>
      <w:r>
        <w:rPr>
          <w:b w:val="1"/>
          <w:sz w:val="28"/>
          <w:highlight w:val="yellow"/>
        </w:rPr>
        <w:tab/>
      </w:r>
      <w:r>
        <w:rPr>
          <w:b w:val="1"/>
          <w:sz w:val="28"/>
          <w:highlight w:val="yellow"/>
        </w:rPr>
        <w:tab/>
      </w:r>
      <w:r>
        <w:rPr>
          <w:b w:val="1"/>
          <w:sz w:val="28"/>
          <w:highlight w:val="yellow"/>
        </w:rPr>
        <w:tab/>
      </w:r>
      <w:r>
        <w:rPr>
          <w:b w:val="1"/>
          <w:sz w:val="28"/>
          <w:highlight w:val="yellow"/>
        </w:rPr>
        <w:t xml:space="preserve">    </w:t>
      </w:r>
      <w:r>
        <w:rPr>
          <w:b w:val="1"/>
          <w:sz w:val="28"/>
          <w:highlight w:val="yellow"/>
        </w:rPr>
        <w:t>Н.М. Кукушкин</w:t>
      </w:r>
    </w:p>
    <w:p w14:paraId="26000000">
      <w:pPr>
        <w:rPr>
          <w:b w:val="1"/>
          <w:sz w:val="28"/>
        </w:rPr>
      </w:pPr>
    </w:p>
    <w:p w14:paraId="27000000">
      <w:pPr>
        <w:spacing w:afterAutospacing="on" w:beforeAutospacing="on"/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       </w:t>
      </w:r>
    </w:p>
    <w:p w14:paraId="28000000">
      <w:pPr>
        <w:spacing w:afterAutospacing="on" w:beforeAutospacing="on"/>
        <w:ind/>
        <w:jc w:val="right"/>
        <w:rPr>
          <w:b w:val="1"/>
          <w:sz w:val="28"/>
        </w:rPr>
      </w:pPr>
    </w:p>
    <w:p w14:paraId="29000000">
      <w:pPr>
        <w:spacing w:afterAutospacing="on" w:beforeAutospacing="on"/>
        <w:ind/>
        <w:jc w:val="right"/>
        <w:rPr>
          <w:b w:val="1"/>
          <w:sz w:val="28"/>
        </w:rPr>
      </w:pPr>
    </w:p>
    <w:p w14:paraId="2A000000">
      <w:pPr>
        <w:spacing w:afterAutospacing="on" w:beforeAutospacing="on"/>
        <w:ind/>
        <w:jc w:val="right"/>
        <w:rPr>
          <w:b w:val="1"/>
          <w:sz w:val="28"/>
        </w:rPr>
      </w:pPr>
    </w:p>
    <w:p w14:paraId="2B000000">
      <w:pPr>
        <w:spacing w:afterAutospacing="on" w:beforeAutospacing="on"/>
        <w:ind/>
        <w:jc w:val="right"/>
        <w:rPr>
          <w:b w:val="1"/>
          <w:sz w:val="28"/>
        </w:rPr>
      </w:pPr>
    </w:p>
    <w:p w14:paraId="2C000000">
      <w:pPr>
        <w:spacing w:afterAutospacing="on" w:beforeAutospacing="on"/>
        <w:ind/>
        <w:jc w:val="right"/>
        <w:rPr>
          <w:b w:val="1"/>
          <w:sz w:val="28"/>
        </w:rPr>
      </w:pPr>
    </w:p>
    <w:p w14:paraId="2D000000">
      <w:pPr>
        <w:spacing w:afterAutospacing="on" w:beforeAutospacing="on"/>
        <w:ind/>
        <w:jc w:val="right"/>
        <w:rPr>
          <w:b w:val="1"/>
          <w:sz w:val="28"/>
        </w:rPr>
      </w:pPr>
    </w:p>
    <w:p w14:paraId="2E000000">
      <w:pPr>
        <w:spacing w:afterAutospacing="on" w:beforeAutospacing="on"/>
        <w:ind/>
        <w:jc w:val="right"/>
        <w:rPr>
          <w:b w:val="1"/>
          <w:sz w:val="28"/>
        </w:rPr>
      </w:pPr>
    </w:p>
    <w:p w14:paraId="2F000000">
      <w:pPr>
        <w:spacing w:afterAutospacing="on" w:beforeAutospacing="on"/>
        <w:ind/>
        <w:jc w:val="right"/>
        <w:rPr>
          <w:b w:val="1"/>
          <w:sz w:val="28"/>
        </w:rPr>
      </w:pPr>
    </w:p>
    <w:p w14:paraId="30000000">
      <w:pPr>
        <w:spacing w:afterAutospacing="on" w:beforeAutospacing="on"/>
        <w:ind/>
        <w:jc w:val="right"/>
        <w:rPr>
          <w:b w:val="1"/>
          <w:sz w:val="28"/>
        </w:rPr>
      </w:pPr>
    </w:p>
    <w:p w14:paraId="31000000">
      <w:pPr>
        <w:spacing w:afterAutospacing="on" w:beforeAutospacing="on"/>
        <w:ind/>
        <w:jc w:val="right"/>
        <w:rPr>
          <w:b w:val="1"/>
          <w:sz w:val="28"/>
        </w:rPr>
      </w:pPr>
    </w:p>
    <w:p w14:paraId="32000000">
      <w:pPr>
        <w:spacing w:afterAutospacing="on" w:beforeAutospacing="on"/>
        <w:ind/>
        <w:jc w:val="right"/>
        <w:rPr>
          <w:b w:val="1"/>
          <w:sz w:val="28"/>
        </w:rPr>
      </w:pPr>
    </w:p>
    <w:p w14:paraId="33000000">
      <w:pPr>
        <w:spacing w:afterAutospacing="on" w:beforeAutospacing="on"/>
        <w:ind/>
        <w:jc w:val="right"/>
        <w:rPr>
          <w:b w:val="1"/>
          <w:sz w:val="28"/>
        </w:rPr>
      </w:pPr>
    </w:p>
    <w:p w14:paraId="34000000">
      <w:pPr>
        <w:spacing w:afterAutospacing="on" w:beforeAutospacing="on"/>
        <w:ind/>
        <w:jc w:val="right"/>
        <w:rPr>
          <w:b w:val="1"/>
          <w:sz w:val="28"/>
        </w:rPr>
      </w:pPr>
    </w:p>
    <w:p w14:paraId="35000000">
      <w:pPr>
        <w:spacing w:afterAutospacing="on" w:beforeAutospacing="on"/>
        <w:ind/>
        <w:jc w:val="right"/>
        <w:rPr>
          <w:b w:val="1"/>
          <w:sz w:val="28"/>
        </w:rPr>
      </w:pPr>
    </w:p>
    <w:p w14:paraId="36000000">
      <w:pPr>
        <w:spacing w:afterAutospacing="on" w:beforeAutospacing="on"/>
        <w:ind/>
        <w:jc w:val="right"/>
        <w:rPr>
          <w:b w:val="1"/>
          <w:sz w:val="28"/>
        </w:rPr>
      </w:pPr>
    </w:p>
    <w:p w14:paraId="37000000">
      <w:pPr>
        <w:spacing w:afterAutospacing="on" w:beforeAutospacing="on"/>
        <w:ind/>
        <w:jc w:val="right"/>
        <w:rPr>
          <w:b w:val="1"/>
          <w:sz w:val="28"/>
        </w:rPr>
      </w:pPr>
    </w:p>
    <w:p w14:paraId="38000000">
      <w:pPr>
        <w:spacing w:afterAutospacing="on" w:beforeAutospacing="on"/>
        <w:ind/>
        <w:jc w:val="right"/>
        <w:rPr>
          <w:b w:val="1"/>
          <w:sz w:val="28"/>
        </w:rPr>
      </w:pPr>
    </w:p>
    <w:p w14:paraId="39000000">
      <w:pPr>
        <w:spacing w:afterAutospacing="on" w:beforeAutospacing="on"/>
        <w:ind/>
        <w:jc w:val="right"/>
        <w:rPr>
          <w:b w:val="1"/>
          <w:sz w:val="28"/>
        </w:rPr>
      </w:pPr>
    </w:p>
    <w:p w14:paraId="3A000000">
      <w:pPr>
        <w:spacing w:afterAutospacing="on" w:beforeAutospacing="on"/>
        <w:ind/>
        <w:jc w:val="right"/>
        <w:rPr>
          <w:b w:val="1"/>
          <w:sz w:val="28"/>
        </w:rPr>
      </w:pPr>
    </w:p>
    <w:p w14:paraId="3B000000">
      <w:pPr>
        <w:spacing w:afterAutospacing="on" w:beforeAutospacing="on"/>
        <w:ind/>
        <w:jc w:val="right"/>
        <w:rPr>
          <w:b w:val="1"/>
          <w:sz w:val="28"/>
        </w:rPr>
      </w:pPr>
    </w:p>
    <w:p w14:paraId="3C000000">
      <w:pPr>
        <w:pStyle w:val="Style_3"/>
        <w:ind/>
        <w:jc w:val="right"/>
        <w:rPr>
          <w:sz w:val="28"/>
        </w:rPr>
      </w:pPr>
      <w:r>
        <w:rPr>
          <w:b w:val="1"/>
          <w:sz w:val="28"/>
        </w:rPr>
        <w:t xml:space="preserve">   </w:t>
      </w:r>
      <w:r>
        <w:rPr>
          <w:sz w:val="28"/>
        </w:rPr>
        <w:t>При</w:t>
      </w:r>
      <w:r>
        <w:rPr>
          <w:sz w:val="28"/>
        </w:rPr>
        <w:t>л</w:t>
      </w:r>
      <w:r>
        <w:rPr>
          <w:sz w:val="28"/>
        </w:rPr>
        <w:t>ожение №1</w:t>
      </w:r>
      <w:r>
        <w:t xml:space="preserve"> </w:t>
      </w:r>
      <w:r>
        <w:br/>
      </w:r>
      <w:r>
        <w:rPr>
          <w:sz w:val="28"/>
        </w:rPr>
        <w:t>к Решению Совета</w:t>
      </w:r>
      <w:r>
        <w:rPr>
          <w:sz w:val="28"/>
        </w:rPr>
        <w:t xml:space="preserve">  </w:t>
      </w:r>
    </w:p>
    <w:p w14:paraId="3D000000">
      <w:pPr>
        <w:pStyle w:val="Style_3"/>
        <w:ind/>
        <w:jc w:val="right"/>
      </w:pPr>
      <w:r>
        <w:rPr>
          <w:sz w:val="28"/>
        </w:rPr>
        <w:t>от</w:t>
      </w:r>
      <w:r>
        <w:rPr>
          <w:sz w:val="28"/>
        </w:rPr>
        <w:t>____</w:t>
      </w: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№ </w:t>
      </w:r>
      <w:r>
        <w:rPr>
          <w:sz w:val="28"/>
        </w:rPr>
        <w:t>______</w:t>
      </w:r>
    </w:p>
    <w:p w14:paraId="3E000000">
      <w:pPr>
        <w:spacing w:afterAutospacing="on" w:beforeAutospacing="on"/>
        <w:ind/>
        <w:jc w:val="center"/>
        <w:rPr>
          <w:sz w:val="28"/>
        </w:rPr>
      </w:pPr>
    </w:p>
    <w:p w14:paraId="3F000000">
      <w:pPr>
        <w:spacing w:afterAutospacing="on" w:beforeAutospacing="on"/>
        <w:ind/>
        <w:jc w:val="center"/>
        <w:rPr>
          <w:sz w:val="28"/>
        </w:rPr>
      </w:pPr>
      <w:r>
        <w:rPr>
          <w:sz w:val="28"/>
        </w:rPr>
        <w:t xml:space="preserve">Положение о  порядке предоставления из бюджета Дергачевского муниципального образования межбюджетных трансфертов </w:t>
      </w:r>
      <w:r>
        <w:rPr>
          <w:sz w:val="28"/>
        </w:rPr>
        <w:t xml:space="preserve">в форме субсидии </w:t>
      </w:r>
      <w:r>
        <w:rPr>
          <w:sz w:val="28"/>
        </w:rPr>
        <w:t xml:space="preserve">бюджету Дергачевского муниципального района Саратовской  области в целях </w:t>
      </w:r>
      <w:r>
        <w:rPr>
          <w:sz w:val="28"/>
        </w:rPr>
        <w:t>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>
        <w:rPr>
          <w:sz w:val="28"/>
        </w:rPr>
        <w:t>,</w:t>
      </w:r>
      <w:r>
        <w:rPr>
          <w:sz w:val="28"/>
        </w:rPr>
        <w:t xml:space="preserve"> на поддержку </w:t>
      </w:r>
      <w:r>
        <w:rPr>
          <w:sz w:val="28"/>
        </w:rPr>
        <w:t>отрасли «Образование», «Культура»,</w:t>
      </w:r>
      <w:r>
        <w:rPr>
          <w:sz w:val="28"/>
        </w:rPr>
        <w:t xml:space="preserve"> </w:t>
      </w:r>
      <w:r>
        <w:rPr>
          <w:sz w:val="28"/>
        </w:rPr>
        <w:t xml:space="preserve">расположенных на территории Дергачевского муниципального образования и </w:t>
      </w:r>
      <w:r>
        <w:rPr>
          <w:sz w:val="28"/>
        </w:rPr>
        <w:t>Администрации</w:t>
      </w:r>
      <w:r>
        <w:rPr>
          <w:sz w:val="28"/>
        </w:rPr>
        <w:t xml:space="preserve"> Дергачевского муниципального района</w:t>
      </w:r>
      <w:r>
        <w:rPr>
          <w:sz w:val="28"/>
        </w:rPr>
        <w:t>.</w:t>
      </w:r>
    </w:p>
    <w:p w14:paraId="40000000">
      <w:pPr>
        <w:spacing w:afterAutospacing="on" w:beforeAutospacing="on"/>
        <w:ind w:firstLine="567"/>
        <w:jc w:val="both"/>
        <w:rPr>
          <w:sz w:val="28"/>
        </w:rPr>
      </w:pPr>
      <w:r>
        <w:rPr>
          <w:sz w:val="28"/>
        </w:rPr>
        <w:t xml:space="preserve">1. Настоящее Положение определяет порядок предоставления межбюджетных трансфертов </w:t>
      </w:r>
      <w:r>
        <w:rPr>
          <w:sz w:val="28"/>
        </w:rPr>
        <w:t xml:space="preserve">в форме субсидии </w:t>
      </w:r>
      <w:r>
        <w:rPr>
          <w:sz w:val="28"/>
        </w:rPr>
        <w:t>бюджету Дергачевского  муниципального района в целях</w:t>
      </w:r>
      <w:r>
        <w:rPr>
          <w:sz w:val="28"/>
        </w:rPr>
        <w:t xml:space="preserve"> </w:t>
      </w:r>
      <w:r>
        <w:rPr>
          <w:sz w:val="28"/>
        </w:rPr>
        <w:t xml:space="preserve">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</w:t>
      </w:r>
      <w:r>
        <w:rPr>
          <w:sz w:val="28"/>
        </w:rPr>
        <w:t xml:space="preserve">(далее - </w:t>
      </w:r>
      <w:r>
        <w:rPr>
          <w:sz w:val="28"/>
        </w:rPr>
        <w:t>субсидия</w:t>
      </w:r>
      <w:r>
        <w:rPr>
          <w:sz w:val="28"/>
        </w:rPr>
        <w:t>), на поддержку учреждений отрасли «Образование»</w:t>
      </w:r>
      <w:r>
        <w:rPr>
          <w:sz w:val="28"/>
        </w:rPr>
        <w:t>, «Культура», расположенных на территории Дергачевского муниципального образования</w:t>
      </w:r>
      <w:r>
        <w:rPr>
          <w:sz w:val="28"/>
        </w:rPr>
        <w:t xml:space="preserve"> и </w:t>
      </w:r>
      <w:r>
        <w:rPr>
          <w:sz w:val="28"/>
        </w:rPr>
        <w:t>Администраци</w:t>
      </w:r>
      <w:r>
        <w:rPr>
          <w:sz w:val="28"/>
        </w:rPr>
        <w:t>и</w:t>
      </w:r>
      <w:r>
        <w:rPr>
          <w:sz w:val="28"/>
        </w:rPr>
        <w:t xml:space="preserve"> Дергачевского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(содержание работников аппарата городского поселения)</w:t>
      </w:r>
      <w:r>
        <w:rPr>
          <w:sz w:val="28"/>
        </w:rPr>
        <w:t>.</w:t>
      </w:r>
    </w:p>
    <w:p w14:paraId="41000000">
      <w:pPr>
        <w:spacing w:afterAutospacing="on" w:beforeAutospacing="on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С</w:t>
      </w:r>
      <w:r>
        <w:rPr>
          <w:sz w:val="28"/>
        </w:rPr>
        <w:t>убсиди</w:t>
      </w:r>
      <w:r>
        <w:rPr>
          <w:sz w:val="28"/>
        </w:rPr>
        <w:t>я</w:t>
      </w:r>
      <w:r>
        <w:rPr>
          <w:sz w:val="28"/>
        </w:rPr>
        <w:t xml:space="preserve"> предоставля</w:t>
      </w:r>
      <w:r>
        <w:rPr>
          <w:sz w:val="28"/>
        </w:rPr>
        <w:t>е</w:t>
      </w:r>
      <w:r>
        <w:rPr>
          <w:sz w:val="28"/>
        </w:rPr>
        <w:t xml:space="preserve">тся бюджету Дергачевского муниципального района в соответствии со сводной бюджетной росписью расходов бюджета Дергачевского муниципального </w:t>
      </w:r>
      <w:r>
        <w:rPr>
          <w:sz w:val="28"/>
        </w:rPr>
        <w:t>образования</w:t>
      </w:r>
      <w:r>
        <w:rPr>
          <w:sz w:val="28"/>
        </w:rPr>
        <w:t xml:space="preserve"> в</w:t>
      </w:r>
      <w:r>
        <w:rPr>
          <w:sz w:val="28"/>
        </w:rPr>
        <w:t xml:space="preserve"> пределах лимитов бюджетных обязательств, утвержденных в установленном порядке Финансовым управлением администрации Дергачевского муниципального района (далее - Финансовое управление) на цели, указанные в пункте 1 настоящего Положения, на основании соглашения, заключенного между Советом Дергачевского муниципального образования и Дергачевским  муниципальным районом по форме согласно приложения к настоящему Положению.</w:t>
      </w:r>
    </w:p>
    <w:p w14:paraId="42000000">
      <w:pPr>
        <w:spacing w:afterAutospacing="on" w:beforeAutospacing="on"/>
        <w:ind w:firstLine="567"/>
        <w:jc w:val="both"/>
        <w:rPr>
          <w:sz w:val="28"/>
        </w:rPr>
      </w:pPr>
      <w:r>
        <w:rPr>
          <w:sz w:val="28"/>
        </w:rPr>
        <w:t xml:space="preserve">2. Направление расходования средств </w:t>
      </w:r>
      <w:r>
        <w:rPr>
          <w:sz w:val="28"/>
        </w:rPr>
        <w:t>субсидии</w:t>
      </w:r>
      <w:r>
        <w:rPr>
          <w:sz w:val="28"/>
        </w:rPr>
        <w:t xml:space="preserve">, а также форма отчета органа местного самоуправления муниципального </w:t>
      </w:r>
      <w:r>
        <w:rPr>
          <w:sz w:val="28"/>
        </w:rPr>
        <w:t>образования</w:t>
      </w:r>
      <w:r>
        <w:rPr>
          <w:sz w:val="28"/>
        </w:rPr>
        <w:t xml:space="preserve"> об использовании </w:t>
      </w:r>
      <w:r>
        <w:rPr>
          <w:sz w:val="28"/>
        </w:rPr>
        <w:t xml:space="preserve">субсидии </w:t>
      </w:r>
      <w:r>
        <w:rPr>
          <w:sz w:val="28"/>
        </w:rPr>
        <w:t xml:space="preserve"> устанавливается в соглашении, указанном в части первой настоящего пункта. </w:t>
      </w:r>
    </w:p>
    <w:p w14:paraId="43000000">
      <w:pPr>
        <w:spacing w:afterAutospacing="on" w:beforeAutospacing="on"/>
        <w:ind w:firstLine="567"/>
        <w:jc w:val="both"/>
        <w:rPr>
          <w:sz w:val="28"/>
        </w:rPr>
      </w:pPr>
      <w:r>
        <w:rPr>
          <w:sz w:val="28"/>
        </w:rPr>
        <w:t xml:space="preserve">3. Перечисление </w:t>
      </w:r>
      <w:r>
        <w:rPr>
          <w:sz w:val="28"/>
        </w:rPr>
        <w:t xml:space="preserve">субсидии </w:t>
      </w:r>
      <w:r>
        <w:rPr>
          <w:sz w:val="28"/>
        </w:rPr>
        <w:t xml:space="preserve">в бюджет муниципального района осуществляется Финансовым управлением до </w:t>
      </w:r>
      <w:r>
        <w:rPr>
          <w:sz w:val="28"/>
        </w:rPr>
        <w:t xml:space="preserve">31.12.2023 </w:t>
      </w:r>
      <w:r>
        <w:rPr>
          <w:sz w:val="28"/>
        </w:rPr>
        <w:t>года на счет, открытый Управлению Федерального казначейства по Саратовской области на балансовом счете 40101 "Доходы, распределяемые органами Федерального казначейства между уровнями бюджетной системы Российской Федерации", для последующего перечисления в установленном порядке на едины</w:t>
      </w:r>
      <w:r>
        <w:rPr>
          <w:sz w:val="28"/>
        </w:rPr>
        <w:t>й</w:t>
      </w:r>
      <w:r>
        <w:rPr>
          <w:sz w:val="28"/>
        </w:rPr>
        <w:t xml:space="preserve"> счет </w:t>
      </w:r>
      <w:r>
        <w:rPr>
          <w:sz w:val="28"/>
        </w:rPr>
        <w:t>Администраци</w:t>
      </w:r>
      <w:r>
        <w:rPr>
          <w:sz w:val="28"/>
        </w:rPr>
        <w:t>и</w:t>
      </w:r>
      <w:r>
        <w:rPr>
          <w:sz w:val="28"/>
        </w:rPr>
        <w:t xml:space="preserve"> Дергачевского муниципального района</w:t>
      </w:r>
      <w:r>
        <w:rPr>
          <w:sz w:val="28"/>
        </w:rPr>
        <w:t>.</w:t>
      </w:r>
    </w:p>
    <w:p w14:paraId="44000000">
      <w:pPr>
        <w:spacing w:afterAutospacing="on" w:beforeAutospacing="on"/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Субсидия</w:t>
      </w:r>
      <w:r>
        <w:rPr>
          <w:sz w:val="28"/>
        </w:rPr>
        <w:t xml:space="preserve"> не подлеж</w:t>
      </w:r>
      <w:r>
        <w:rPr>
          <w:sz w:val="28"/>
        </w:rPr>
        <w:t>и</w:t>
      </w:r>
      <w:r>
        <w:rPr>
          <w:sz w:val="28"/>
        </w:rPr>
        <w:t>т направлению на иные цели, кроме указанных в Соглашении.</w:t>
      </w:r>
    </w:p>
    <w:p w14:paraId="45000000">
      <w:pPr>
        <w:spacing w:afterAutospacing="on" w:beforeAutospacing="on"/>
        <w:ind w:firstLine="567"/>
        <w:jc w:val="both"/>
        <w:rPr>
          <w:sz w:val="28"/>
        </w:rPr>
      </w:pPr>
      <w:r>
        <w:rPr>
          <w:sz w:val="28"/>
        </w:rPr>
        <w:t xml:space="preserve">5. В случае использования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>не по целевому назначению соответствующие средства взыскиваются в бюджет Дергачевского муниципального образования в установленном законодательством порядке.</w:t>
      </w:r>
    </w:p>
    <w:p w14:paraId="46000000">
      <w:pPr>
        <w:spacing w:afterAutospacing="on" w:beforeAutospacing="on"/>
        <w:ind w:firstLine="567"/>
        <w:contextualSpacing w:val="1"/>
        <w:jc w:val="both"/>
        <w:rPr>
          <w:sz w:val="28"/>
        </w:rPr>
      </w:pPr>
      <w:r>
        <w:rPr>
          <w:sz w:val="28"/>
        </w:rPr>
        <w:t xml:space="preserve">6. Неиспользованные по состоянию на 1 января года, следующего за отчетным, остатки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>на счете бюджета муниципального района подлежат возврату в доход бюджета Дергачевского муниципального образования в течение первых 15 рабочих дней года, следующего за отчетным.</w:t>
      </w:r>
    </w:p>
    <w:p w14:paraId="47000000">
      <w:pPr>
        <w:spacing w:afterAutospacing="on" w:beforeAutospacing="on"/>
        <w:ind w:firstLine="567"/>
        <w:contextualSpacing w:val="1"/>
        <w:jc w:val="both"/>
        <w:rPr>
          <w:sz w:val="28"/>
        </w:rPr>
      </w:pPr>
      <w:r>
        <w:rPr>
          <w:sz w:val="28"/>
        </w:rPr>
        <w:t xml:space="preserve">В случае если неиспользованный остаток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 xml:space="preserve">не перечислен в доход бюджета Дергачевского муниципального образования, указанные средства подлежат взысканию в доход бюджета Дергачевского муниципального образования </w:t>
      </w:r>
      <w:r>
        <w:rPr>
          <w:sz w:val="28"/>
        </w:rPr>
        <w:t>в</w:t>
      </w:r>
      <w:r>
        <w:rPr>
          <w:sz w:val="28"/>
        </w:rPr>
        <w:t xml:space="preserve"> установленном законодательством порядке.</w:t>
      </w:r>
    </w:p>
    <w:p w14:paraId="48000000">
      <w:pPr>
        <w:ind w:firstLine="567"/>
        <w:jc w:val="both"/>
        <w:rPr>
          <w:b w:val="1"/>
          <w:sz w:val="28"/>
        </w:rPr>
      </w:pPr>
    </w:p>
    <w:p w14:paraId="49000000">
      <w:pPr>
        <w:rPr>
          <w:sz w:val="28"/>
        </w:rPr>
      </w:pPr>
    </w:p>
    <w:p w14:paraId="4A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B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C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D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E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4F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0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1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2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3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4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5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6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7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8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9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A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B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C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D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E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5F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60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61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62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63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64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65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66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67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68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69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6A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6B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6C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</w:p>
    <w:p w14:paraId="6D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№2 </w:t>
      </w:r>
    </w:p>
    <w:p w14:paraId="6E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</w:t>
      </w:r>
      <w:r>
        <w:rPr>
          <w:rFonts w:ascii="Times New Roman" w:hAnsi="Times New Roman"/>
          <w:sz w:val="28"/>
        </w:rPr>
        <w:t xml:space="preserve"> Совета </w:t>
      </w:r>
    </w:p>
    <w:p w14:paraId="6F000000">
      <w:pPr>
        <w:pStyle w:val="Style_6"/>
        <w:ind w:firstLine="0" w:left="56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sz w:val="28"/>
        </w:rPr>
        <w:t xml:space="preserve"> _____</w:t>
      </w:r>
    </w:p>
    <w:p w14:paraId="70000000">
      <w:pPr>
        <w:pStyle w:val="Style_6"/>
        <w:ind/>
        <w:jc w:val="center"/>
        <w:rPr>
          <w:sz w:val="28"/>
        </w:rPr>
      </w:pPr>
    </w:p>
    <w:p w14:paraId="71000000">
      <w:pPr>
        <w:pStyle w:val="Style_4"/>
        <w:ind/>
        <w:jc w:val="center"/>
        <w:rPr>
          <w:rFonts w:ascii="Times New Roman" w:hAnsi="Times New Roman"/>
          <w:sz w:val="28"/>
        </w:rPr>
      </w:pPr>
      <w:bookmarkStart w:id="1" w:name="P19078"/>
      <w:bookmarkEnd w:id="1"/>
      <w:r>
        <w:rPr>
          <w:rFonts w:ascii="Times New Roman" w:hAnsi="Times New Roman"/>
          <w:sz w:val="28"/>
        </w:rPr>
        <w:t xml:space="preserve">Соглашение о предоставлении </w:t>
      </w:r>
      <w:r>
        <w:rPr>
          <w:rFonts w:ascii="Times New Roman" w:hAnsi="Times New Roman"/>
          <w:sz w:val="28"/>
        </w:rPr>
        <w:t xml:space="preserve">межбюджетных трансфертов в форме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 бюджета Дергачевского муниципального образования бюджету Дергачевского муниципального района, </w:t>
      </w:r>
      <w:r>
        <w:rPr>
          <w:rFonts w:ascii="Times New Roman" w:hAnsi="Times New Roman"/>
          <w:sz w:val="28"/>
        </w:rPr>
        <w:t>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поддержку учреждений отрасли «Образование»</w:t>
      </w:r>
      <w:r>
        <w:rPr>
          <w:rFonts w:ascii="Times New Roman" w:hAnsi="Times New Roman"/>
          <w:sz w:val="28"/>
        </w:rPr>
        <w:t>, «Культура»,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расположенных на территории Дергачевского муниципального образования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Дергачевского муниципального района</w:t>
      </w:r>
      <w:r>
        <w:rPr>
          <w:rFonts w:ascii="Times New Roman" w:hAnsi="Times New Roman"/>
          <w:sz w:val="28"/>
        </w:rPr>
        <w:t>.</w:t>
      </w:r>
    </w:p>
    <w:p w14:paraId="72000000">
      <w:pPr>
        <w:pStyle w:val="Style_4"/>
        <w:rPr>
          <w:rFonts w:ascii="Times New Roman" w:hAnsi="Times New Roman"/>
          <w:sz w:val="28"/>
        </w:rPr>
      </w:pPr>
    </w:p>
    <w:p w14:paraId="73000000">
      <w:pPr>
        <w:pStyle w:val="Style_4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Р.п. Дергачи</w:t>
      </w:r>
    </w:p>
    <w:p w14:paraId="7400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октябрь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 г.</w:t>
      </w: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</w:p>
    <w:p w14:paraId="75000000">
      <w:pPr>
        <w:pStyle w:val="Style_1"/>
        <w:ind w:firstLine="708" w:right="-6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Дергачевское муниципальное образование Дергачевского муниципального  района Саратовской области, именуемое в дальнейшем «Поселение</w:t>
      </w:r>
      <w:r>
        <w:rPr>
          <w:rFonts w:ascii="Times New Roman" w:hAnsi="Times New Roman"/>
          <w:b w:val="0"/>
          <w:sz w:val="28"/>
        </w:rPr>
        <w:t>»,</w:t>
      </w:r>
      <w:r>
        <w:rPr>
          <w:rFonts w:ascii="Times New Roman" w:hAnsi="Times New Roman"/>
          <w:b w:val="0"/>
          <w:sz w:val="28"/>
        </w:rPr>
        <w:t xml:space="preserve">  в лице и.о. главы Дергачевского муниципального образования  Полещук Флюры Марсовны</w:t>
      </w:r>
      <w:r>
        <w:rPr>
          <w:rFonts w:ascii="Times New Roman" w:hAnsi="Times New Roman"/>
          <w:b w:val="0"/>
          <w:sz w:val="28"/>
        </w:rPr>
        <w:t>, действующего на основании Устава Дергачевского муниципального образования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sz w:val="28"/>
        </w:rPr>
        <w:t xml:space="preserve">в лице главы Дергачевского  муниципального района Мурзакова Сергея Николаевича, действующего на основании Устава </w:t>
      </w:r>
      <w:r>
        <w:rPr>
          <w:rFonts w:ascii="Times New Roman" w:hAnsi="Times New Roman"/>
          <w:b w:val="0"/>
          <w:sz w:val="28"/>
        </w:rPr>
        <w:t>Дергачевского муниципального района</w:t>
      </w:r>
      <w:r>
        <w:rPr>
          <w:rFonts w:ascii="Times New Roman" w:hAnsi="Times New Roman"/>
          <w:b w:val="0"/>
          <w:sz w:val="28"/>
        </w:rPr>
        <w:t>, принятого на Референдуме от 22 декабря 1996 года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 xml:space="preserve">и.о. </w:t>
      </w:r>
      <w:r>
        <w:rPr>
          <w:rFonts w:ascii="Times New Roman" w:hAnsi="Times New Roman"/>
          <w:b w:val="0"/>
          <w:sz w:val="28"/>
        </w:rPr>
        <w:t xml:space="preserve">начальника Управления образования администрации Дергачевского муниципального района </w:t>
      </w:r>
      <w:r>
        <w:rPr>
          <w:rFonts w:ascii="Times New Roman" w:hAnsi="Times New Roman"/>
          <w:b w:val="0"/>
          <w:sz w:val="28"/>
        </w:rPr>
        <w:t>Харюковой Натальи Борисовны</w:t>
      </w:r>
      <w:r>
        <w:rPr>
          <w:rFonts w:ascii="Times New Roman" w:hAnsi="Times New Roman"/>
          <w:b w:val="0"/>
          <w:sz w:val="28"/>
        </w:rPr>
        <w:t>, представляющей отрасль «Образование</w:t>
      </w:r>
      <w:r>
        <w:rPr>
          <w:rFonts w:ascii="Times New Roman" w:hAnsi="Times New Roman"/>
          <w:b w:val="0"/>
          <w:sz w:val="28"/>
        </w:rPr>
        <w:t xml:space="preserve">», </w:t>
      </w:r>
      <w:r>
        <w:rPr>
          <w:rFonts w:ascii="Times New Roman" w:hAnsi="Times New Roman"/>
          <w:b w:val="0"/>
          <w:sz w:val="28"/>
        </w:rPr>
        <w:t xml:space="preserve">начальника Управления </w:t>
      </w:r>
      <w:r>
        <w:rPr>
          <w:rFonts w:ascii="Times New Roman" w:hAnsi="Times New Roman"/>
          <w:b w:val="0"/>
          <w:sz w:val="28"/>
        </w:rPr>
        <w:t>культуры</w:t>
      </w:r>
      <w:r>
        <w:rPr>
          <w:rFonts w:ascii="Times New Roman" w:hAnsi="Times New Roman"/>
          <w:b w:val="0"/>
          <w:sz w:val="28"/>
        </w:rPr>
        <w:t xml:space="preserve"> администрации Дергачевского муниципального района </w:t>
      </w:r>
      <w:r>
        <w:rPr>
          <w:rFonts w:ascii="Times New Roman" w:hAnsi="Times New Roman"/>
          <w:b w:val="0"/>
          <w:sz w:val="28"/>
        </w:rPr>
        <w:t>Котогроба Николая Николаевича</w:t>
      </w:r>
      <w:r>
        <w:rPr>
          <w:rFonts w:ascii="Times New Roman" w:hAnsi="Times New Roman"/>
          <w:b w:val="0"/>
          <w:sz w:val="28"/>
        </w:rPr>
        <w:t>, представляюще</w:t>
      </w:r>
      <w:r>
        <w:rPr>
          <w:rFonts w:ascii="Times New Roman" w:hAnsi="Times New Roman"/>
          <w:b w:val="0"/>
          <w:sz w:val="28"/>
        </w:rPr>
        <w:t>го</w:t>
      </w:r>
      <w:r>
        <w:rPr>
          <w:rFonts w:ascii="Times New Roman" w:hAnsi="Times New Roman"/>
          <w:b w:val="0"/>
          <w:sz w:val="28"/>
        </w:rPr>
        <w:t xml:space="preserve"> отрасль «</w:t>
      </w:r>
      <w:r>
        <w:rPr>
          <w:rFonts w:ascii="Times New Roman" w:hAnsi="Times New Roman"/>
          <w:b w:val="0"/>
          <w:sz w:val="28"/>
        </w:rPr>
        <w:t>Культура</w:t>
      </w:r>
      <w:r>
        <w:rPr>
          <w:rFonts w:ascii="Times New Roman" w:hAnsi="Times New Roman"/>
          <w:b w:val="0"/>
          <w:sz w:val="28"/>
        </w:rPr>
        <w:t>»,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highlight w:val="yellow"/>
        </w:rPr>
        <w:t xml:space="preserve"> заместителя главы</w:t>
      </w:r>
      <w:r>
        <w:rPr>
          <w:rFonts w:ascii="Times New Roman" w:hAnsi="Times New Roman"/>
          <w:b w:val="0"/>
          <w:sz w:val="28"/>
          <w:highlight w:val="yellow"/>
        </w:rPr>
        <w:t xml:space="preserve"> администрации Дергачевского муниципального района по работе с городским поселением Колтунова Александра Сергеевича</w:t>
      </w:r>
      <w:r>
        <w:rPr>
          <w:rFonts w:ascii="Times New Roman" w:hAnsi="Times New Roman"/>
          <w:b w:val="0"/>
          <w:sz w:val="28"/>
        </w:rPr>
        <w:t xml:space="preserve">. представляющего </w:t>
      </w:r>
      <w:r>
        <w:rPr>
          <w:rFonts w:ascii="Times New Roman" w:hAnsi="Times New Roman"/>
          <w:b w:val="0"/>
          <w:sz w:val="28"/>
        </w:rPr>
        <w:t>Администрацию Дергачевского муниципального района</w:t>
      </w:r>
      <w:r>
        <w:rPr>
          <w:rFonts w:ascii="Times New Roman" w:hAnsi="Times New Roman"/>
          <w:b w:val="0"/>
          <w:sz w:val="28"/>
        </w:rPr>
        <w:t xml:space="preserve">, действующих на основании </w:t>
      </w:r>
      <w:r>
        <w:rPr>
          <w:rFonts w:ascii="Times New Roman" w:hAnsi="Times New Roman"/>
          <w:b w:val="0"/>
          <w:sz w:val="28"/>
          <w:highlight w:val="yellow"/>
        </w:rPr>
        <w:t xml:space="preserve">Распоряжения администрации Дергачевского муниципального района № </w:t>
      </w:r>
      <w:r>
        <w:rPr>
          <w:rFonts w:ascii="Times New Roman" w:hAnsi="Times New Roman"/>
          <w:b w:val="0"/>
          <w:sz w:val="28"/>
          <w:highlight w:val="yellow"/>
        </w:rPr>
        <w:t>___</w:t>
      </w:r>
      <w:r>
        <w:rPr>
          <w:rFonts w:ascii="Times New Roman" w:hAnsi="Times New Roman"/>
          <w:b w:val="0"/>
          <w:sz w:val="28"/>
          <w:highlight w:val="yellow"/>
        </w:rPr>
        <w:t>р</w:t>
      </w:r>
      <w:r>
        <w:rPr>
          <w:rFonts w:ascii="Times New Roman" w:hAnsi="Times New Roman"/>
          <w:b w:val="0"/>
          <w:sz w:val="28"/>
          <w:highlight w:val="yellow"/>
        </w:rPr>
        <w:t xml:space="preserve"> от </w:t>
      </w:r>
      <w:r>
        <w:rPr>
          <w:rFonts w:ascii="Times New Roman" w:hAnsi="Times New Roman"/>
          <w:b w:val="0"/>
          <w:sz w:val="28"/>
          <w:highlight w:val="yellow"/>
        </w:rPr>
        <w:t>____________</w:t>
      </w:r>
      <w:r>
        <w:rPr>
          <w:rFonts w:ascii="Times New Roman" w:hAnsi="Times New Roman"/>
          <w:b w:val="0"/>
          <w:sz w:val="28"/>
          <w:highlight w:val="yellow"/>
        </w:rPr>
        <w:t xml:space="preserve"> 202</w:t>
      </w:r>
      <w:r>
        <w:rPr>
          <w:rFonts w:ascii="Times New Roman" w:hAnsi="Times New Roman"/>
          <w:b w:val="0"/>
          <w:sz w:val="28"/>
          <w:highlight w:val="yellow"/>
        </w:rPr>
        <w:t>3</w:t>
      </w:r>
      <w:r>
        <w:rPr>
          <w:rFonts w:ascii="Times New Roman" w:hAnsi="Times New Roman"/>
          <w:b w:val="0"/>
          <w:sz w:val="28"/>
          <w:highlight w:val="yellow"/>
        </w:rPr>
        <w:t xml:space="preserve"> года «О возложении полномочий по подписанию Соглашения»</w:t>
      </w:r>
      <w:r>
        <w:rPr>
          <w:rFonts w:ascii="Times New Roman" w:hAnsi="Times New Roman"/>
          <w:b w:val="0"/>
          <w:sz w:val="28"/>
        </w:rPr>
        <w:t xml:space="preserve">  с другой стороны, далее при совместном упоминании именуемые «Стороны», в соответствии с Порядком предоставления</w:t>
      </w:r>
      <w:r>
        <w:rPr>
          <w:rFonts w:ascii="Times New Roman" w:hAnsi="Times New Roman"/>
          <w:b w:val="0"/>
          <w:sz w:val="28"/>
        </w:rPr>
        <w:t xml:space="preserve"> межбюджетных трансфертов в форме </w:t>
      </w:r>
      <w:r>
        <w:rPr>
          <w:rFonts w:ascii="Times New Roman" w:hAnsi="Times New Roman"/>
          <w:b w:val="0"/>
          <w:sz w:val="28"/>
        </w:rPr>
        <w:t>субсидии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из бюджета Дергачевского муниципального образования бюджету Дергачевского муниципального района, утверждённым решением Совета Дергачевского </w:t>
      </w:r>
      <w:r>
        <w:rPr>
          <w:rFonts w:ascii="Times New Roman" w:hAnsi="Times New Roman"/>
          <w:b w:val="0"/>
          <w:color w:val="000000"/>
          <w:sz w:val="28"/>
        </w:rPr>
        <w:t xml:space="preserve">муниципального образования  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>от 13.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>10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>.202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 xml:space="preserve">3 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>г.</w:t>
      </w:r>
      <w:r>
        <w:rPr>
          <w:rFonts w:ascii="Times New Roman" w:hAnsi="Times New Roman"/>
          <w:b w:val="0"/>
          <w:color w:val="000000"/>
          <w:sz w:val="28"/>
          <w:highlight w:val="yellow"/>
        </w:rPr>
        <w:t xml:space="preserve"> №</w:t>
      </w:r>
      <w:r>
        <w:rPr>
          <w:rFonts w:ascii="Times New Roman" w:hAnsi="Times New Roman"/>
          <w:b w:val="0"/>
          <w:color w:val="000000"/>
          <w:sz w:val="28"/>
        </w:rPr>
        <w:t xml:space="preserve"> 30-69</w:t>
      </w:r>
      <w:r>
        <w:rPr>
          <w:rFonts w:ascii="Times New Roman" w:hAnsi="Times New Roman"/>
          <w:b w:val="0"/>
          <w:color w:val="000000"/>
          <w:sz w:val="28"/>
        </w:rPr>
        <w:t xml:space="preserve"> (далее – Порядок), </w:t>
      </w:r>
      <w:r>
        <w:rPr>
          <w:rFonts w:ascii="Times New Roman" w:hAnsi="Times New Roman"/>
          <w:b w:val="0"/>
          <w:sz w:val="28"/>
        </w:rPr>
        <w:t xml:space="preserve"> заключили настоящее Соглашение о нижеследующем:</w:t>
      </w:r>
    </w:p>
    <w:p w14:paraId="7600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77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Предмет Соглашения</w:t>
      </w:r>
    </w:p>
    <w:p w14:paraId="78000000">
      <w:pPr>
        <w:pStyle w:val="Style_4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Предметом настоящего Соглашения является предоставление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из бюджета Поселения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бюджету Района </w:t>
      </w:r>
      <w:r>
        <w:rPr>
          <w:rFonts w:ascii="Times New Roman" w:hAnsi="Times New Roman"/>
          <w:sz w:val="28"/>
        </w:rPr>
        <w:t xml:space="preserve">межбюджетных трансфертов в форме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поддержку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учреждений отрасли «Образование»</w:t>
      </w:r>
      <w:r>
        <w:rPr>
          <w:rFonts w:ascii="Times New Roman" w:hAnsi="Times New Roman"/>
          <w:sz w:val="28"/>
        </w:rPr>
        <w:t>, «Культура»,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расположенных на территории Дергачевского муниципального образования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Администрации Дергачевского муниципального района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заработн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плат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и начисления на заработную плату</w:t>
      </w:r>
      <w:r>
        <w:rPr>
          <w:rFonts w:ascii="Times New Roman" w:hAnsi="Times New Roman"/>
          <w:sz w:val="28"/>
        </w:rPr>
        <w:t>, коммунальные 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учреждений отрасли «Образования» и «Культура» и заработная плата и начисления на заработную плату работников Администрации Дергачевского муниципального района аппарата городского поселения, субсидия «МУП Орошаемское РМПО ЖКХ»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</w:t>
      </w:r>
      <w:r>
        <w:rPr>
          <w:rFonts w:ascii="Times New Roman" w:hAnsi="Times New Roman"/>
          <w:sz w:val="28"/>
        </w:rPr>
        <w:t>субсидия</w:t>
      </w:r>
      <w:r>
        <w:rPr>
          <w:rFonts w:ascii="Times New Roman" w:hAnsi="Times New Roman"/>
          <w:sz w:val="28"/>
        </w:rPr>
        <w:t>) в соответствии с лимитами бюджетных обязательств, доведёнными Поселению, как получателю средств бюджета.</w:t>
      </w:r>
    </w:p>
    <w:p w14:paraId="79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7A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II. Финансовое обеспечение расходных обязательств, в целях</w:t>
      </w:r>
    </w:p>
    <w:p w14:paraId="7B000000">
      <w:pPr>
        <w:pStyle w:val="Style_3"/>
        <w:ind/>
        <w:jc w:val="center"/>
        <w:rPr>
          <w:sz w:val="28"/>
        </w:rPr>
      </w:pPr>
      <w:r>
        <w:rPr>
          <w:b w:val="1"/>
          <w:sz w:val="28"/>
        </w:rPr>
        <w:t>которых предоставляются межбюджетные трансферты</w:t>
      </w:r>
      <w:r>
        <w:rPr>
          <w:b w:val="1"/>
          <w:sz w:val="28"/>
        </w:rPr>
        <w:t xml:space="preserve"> в форме субсидии</w:t>
      </w:r>
    </w:p>
    <w:p w14:paraId="7C000000">
      <w:pPr>
        <w:pStyle w:val="Style_3"/>
        <w:ind/>
        <w:jc w:val="center"/>
        <w:rPr>
          <w:sz w:val="28"/>
        </w:rPr>
      </w:pPr>
    </w:p>
    <w:p w14:paraId="7D000000">
      <w:pPr>
        <w:pStyle w:val="Style_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Общий объем бюджетных ассигнований, предусматриваемых в бюджете Поселения на финансовое обеспечение расходных обязательств, в целях которых предоставля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</w:t>
      </w:r>
      <w:r>
        <w:rPr>
          <w:rFonts w:ascii="Times New Roman" w:hAnsi="Times New Roman"/>
          <w:sz w:val="28"/>
        </w:rPr>
        <w:t>субсидия</w:t>
      </w:r>
      <w:r>
        <w:rPr>
          <w:rFonts w:ascii="Times New Roman" w:hAnsi="Times New Roman"/>
          <w:sz w:val="28"/>
        </w:rPr>
        <w:t>, составляют в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10 770 14350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Тринадцать миллионов шестьсот тысяч) рублей 00 копеек:</w:t>
      </w:r>
    </w:p>
    <w:p w14:paraId="7E000000">
      <w:pPr>
        <w:pStyle w:val="Style_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«Образование» 4 800 000,0 (Четыре миллиона восемьсот тысяч) рублей 00 копеек;</w:t>
      </w:r>
    </w:p>
    <w:p w14:paraId="7F000000">
      <w:pPr>
        <w:pStyle w:val="Style_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«Культура» 5 500 000,0 (Пять миллионов пятьсот тысяч) рублей 00 копеек;</w:t>
      </w:r>
    </w:p>
    <w:p w14:paraId="80000000">
      <w:pPr>
        <w:pStyle w:val="Style_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Дергачевского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0 000,00 (</w:t>
      </w:r>
      <w:r>
        <w:rPr>
          <w:rFonts w:ascii="Times New Roman" w:hAnsi="Times New Roman"/>
          <w:sz w:val="28"/>
        </w:rPr>
        <w:t>Три миллиона триста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тысяч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81000000">
      <w:pPr>
        <w:pStyle w:val="Style_4"/>
        <w:ind w:firstLine="567"/>
        <w:jc w:val="both"/>
        <w:rPr>
          <w:rFonts w:ascii="Times New Roman" w:hAnsi="Times New Roman"/>
          <w:sz w:val="28"/>
        </w:rPr>
      </w:pPr>
      <w:bookmarkStart w:id="2" w:name="P144"/>
      <w:bookmarkEnd w:id="2"/>
    </w:p>
    <w:p w14:paraId="82000000">
      <w:pPr>
        <w:pStyle w:val="Style_6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b w:val="1"/>
          <w:sz w:val="28"/>
        </w:rPr>
        <w:t>II. Порядок, условия предоставления и сроки</w:t>
      </w:r>
    </w:p>
    <w:p w14:paraId="83000000">
      <w:pPr>
        <w:pStyle w:val="Style_6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перечисления межбюджетных трансфертов</w:t>
      </w:r>
      <w:r>
        <w:rPr>
          <w:rFonts w:ascii="Times New Roman" w:hAnsi="Times New Roman"/>
          <w:b w:val="1"/>
          <w:sz w:val="28"/>
        </w:rPr>
        <w:t xml:space="preserve"> в форме субсидии</w:t>
      </w:r>
    </w:p>
    <w:p w14:paraId="84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85000000">
      <w:pPr>
        <w:ind w:firstLine="708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</w:rPr>
        <w:t>Субсидия</w:t>
      </w:r>
      <w:r>
        <w:rPr>
          <w:sz w:val="28"/>
        </w:rPr>
        <w:t xml:space="preserve"> предоставляются в пределах бюджетных ассигнований, предусмотренных в Решении о бюджете на 202</w:t>
      </w:r>
      <w:r>
        <w:rPr>
          <w:sz w:val="28"/>
        </w:rPr>
        <w:t>3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 (сводной бюджетной росписью бюджета Дергачевского муниципального района Саратовской области) и лимитов бюджетных обязательств, доведенных Главному распорядителю на соответствующий финансовый год.</w:t>
      </w:r>
    </w:p>
    <w:p w14:paraId="86000000">
      <w:pPr>
        <w:ind w:firstLine="708"/>
        <w:jc w:val="both"/>
        <w:rPr>
          <w:sz w:val="28"/>
        </w:rPr>
      </w:pPr>
      <w:r>
        <w:rPr>
          <w:sz w:val="28"/>
        </w:rPr>
        <w:t xml:space="preserve">3.2.  </w:t>
      </w:r>
      <w:r>
        <w:rPr>
          <w:sz w:val="28"/>
        </w:rPr>
        <w:t>Субсидия</w:t>
      </w:r>
      <w:r>
        <w:rPr>
          <w:sz w:val="28"/>
        </w:rPr>
        <w:t xml:space="preserve"> </w:t>
      </w:r>
      <w:r>
        <w:rPr>
          <w:sz w:val="28"/>
        </w:rPr>
        <w:t>предоставляется при выполнении следующих условий:</w:t>
      </w:r>
    </w:p>
    <w:p w14:paraId="87000000">
      <w:pPr>
        <w:ind w:firstLine="708"/>
        <w:jc w:val="both"/>
        <w:rPr>
          <w:sz w:val="28"/>
        </w:rPr>
      </w:pPr>
      <w:r>
        <w:rPr>
          <w:sz w:val="28"/>
        </w:rPr>
        <w:t>а) наличие в бюджете Района (сводной бюджетной росписи местного бюджета) бюджетных ассигнований на исполнение расходных обязательств Района, в целях которых предоставля</w:t>
      </w:r>
      <w:r>
        <w:rPr>
          <w:sz w:val="28"/>
        </w:rPr>
        <w:t>е</w:t>
      </w:r>
      <w:r>
        <w:rPr>
          <w:sz w:val="28"/>
        </w:rPr>
        <w:t xml:space="preserve">тся </w:t>
      </w:r>
      <w:r>
        <w:rPr>
          <w:sz w:val="28"/>
        </w:rPr>
        <w:t>субсидия</w:t>
      </w:r>
      <w:r>
        <w:rPr>
          <w:sz w:val="28"/>
        </w:rPr>
        <w:t>, в объеме, предусмотренном пунктом 2.1 настоящего Соглашения (представление выписки из сводной бюджетной росписи местного бюджета);</w:t>
      </w:r>
    </w:p>
    <w:p w14:paraId="88000000">
      <w:pPr>
        <w:ind w:firstLine="708"/>
        <w:jc w:val="both"/>
        <w:rPr>
          <w:sz w:val="28"/>
        </w:rPr>
      </w:pPr>
      <w:r>
        <w:rPr>
          <w:sz w:val="28"/>
        </w:rPr>
        <w:t>б) заключение настоящего Соглашения;</w:t>
      </w:r>
    </w:p>
    <w:p w14:paraId="89000000">
      <w:pPr>
        <w:ind w:firstLine="708"/>
        <w:jc w:val="both"/>
        <w:rPr>
          <w:sz w:val="28"/>
        </w:rPr>
      </w:pPr>
      <w:r>
        <w:rPr>
          <w:sz w:val="28"/>
        </w:rPr>
        <w:t xml:space="preserve">3.3. Перечисление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 xml:space="preserve">из бюджета Поселения  в бюджет Района осуществляется на счет Управления Федерального казначейства по Саратовской области, открытый органу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 в срок до </w:t>
      </w:r>
      <w:r>
        <w:rPr>
          <w:sz w:val="28"/>
        </w:rPr>
        <w:t>31.12.</w:t>
      </w:r>
      <w:r>
        <w:rPr>
          <w:sz w:val="28"/>
        </w:rPr>
        <w:t>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года.</w:t>
      </w:r>
    </w:p>
    <w:p w14:paraId="8A000000">
      <w:pPr>
        <w:ind w:firstLine="540"/>
        <w:jc w:val="both"/>
        <w:rPr>
          <w:color w:val="FF0000"/>
          <w:sz w:val="28"/>
        </w:rPr>
      </w:pPr>
    </w:p>
    <w:p w14:paraId="8B000000">
      <w:pPr>
        <w:pStyle w:val="Style_7"/>
        <w:tabs>
          <w:tab w:leader="none" w:pos="1146" w:val="left"/>
          <w:tab w:leader="none" w:pos="5174" w:val="center"/>
          <w:tab w:leader="none" w:pos="7590" w:val="left"/>
        </w:tabs>
        <w:spacing w:before="0" w:line="240" w:lineRule="auto"/>
        <w:ind w:firstLine="709"/>
        <w:jc w:val="left"/>
        <w:rPr>
          <w:b w:val="1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 w:val="1"/>
          <w:sz w:val="28"/>
        </w:rPr>
        <w:t>IV. Взаимодействие Сторон</w:t>
      </w:r>
    </w:p>
    <w:p w14:paraId="8C000000">
      <w:pPr>
        <w:pStyle w:val="Style_3"/>
        <w:rPr>
          <w:sz w:val="28"/>
        </w:rPr>
      </w:pPr>
      <w:r>
        <w:rPr>
          <w:sz w:val="28"/>
        </w:rPr>
        <w:t>4.1.</w:t>
      </w:r>
      <w:r>
        <w:rPr>
          <w:sz w:val="28"/>
        </w:rPr>
        <w:t> </w:t>
      </w:r>
      <w:r>
        <w:rPr>
          <w:sz w:val="28"/>
        </w:rPr>
        <w:t>Поселение обязуется:</w:t>
      </w:r>
    </w:p>
    <w:p w14:paraId="8D000000">
      <w:pPr>
        <w:pStyle w:val="Style_3"/>
        <w:rPr>
          <w:sz w:val="28"/>
        </w:rPr>
      </w:pPr>
      <w:r>
        <w:rPr>
          <w:sz w:val="28"/>
        </w:rPr>
        <w:t>4.1.1.</w:t>
      </w:r>
      <w:r>
        <w:rPr>
          <w:sz w:val="28"/>
        </w:rPr>
        <w:t> </w:t>
      </w:r>
      <w:r>
        <w:rPr>
          <w:sz w:val="28"/>
        </w:rPr>
        <w:t xml:space="preserve">Обеспечить в установленные сроки предоставление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>в пределах сумм, установленных в пункте 2.1 настоящего Соглашения.</w:t>
      </w:r>
    </w:p>
    <w:p w14:paraId="8E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Осуществлять контроль за соблюдением Районом  условий и целей, ус</w:t>
      </w:r>
      <w:r>
        <w:rPr>
          <w:rFonts w:ascii="Times New Roman" w:hAnsi="Times New Roman"/>
          <w:sz w:val="28"/>
        </w:rPr>
        <w:t xml:space="preserve">тановленных при предоставлении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рамках настоящего Соглашения, на основании данных бюджетной отчетности, а также отчета об использовании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«Отчет об использовании») по форме согласно приложению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настоящему Соглашению.</w:t>
      </w:r>
    </w:p>
    <w:p w14:paraId="8F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Поселение вправе:</w:t>
      </w:r>
    </w:p>
    <w:p w14:paraId="90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Запрашивать у Района документы и материалы, необходимые для осуществления контроля за соблюдением условий и целей предоставления Иных межбюджетных трансфертов</w:t>
      </w:r>
      <w:r>
        <w:rPr>
          <w:rFonts w:ascii="Times New Roman" w:hAnsi="Times New Roman"/>
          <w:sz w:val="28"/>
        </w:rPr>
        <w:t xml:space="preserve"> в форме субсидии</w:t>
      </w:r>
      <w:r>
        <w:rPr>
          <w:rFonts w:ascii="Times New Roman" w:hAnsi="Times New Roman"/>
          <w:sz w:val="28"/>
        </w:rPr>
        <w:t>, предусмотренных Соглашением.</w:t>
      </w:r>
    </w:p>
    <w:p w14:paraId="91000000">
      <w:pPr>
        <w:ind/>
        <w:jc w:val="both"/>
        <w:rPr>
          <w:sz w:val="28"/>
        </w:rPr>
      </w:pPr>
      <w:bookmarkStart w:id="3" w:name="P309"/>
      <w:bookmarkEnd w:id="3"/>
      <w:r>
        <w:rPr>
          <w:sz w:val="28"/>
        </w:rPr>
        <w:t xml:space="preserve">4.2.2. Взыскивать неиспользованный остаток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>в установленном порядке в случае его невозврата Районом.</w:t>
      </w:r>
    </w:p>
    <w:p w14:paraId="92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Район обязуется:</w:t>
      </w:r>
    </w:p>
    <w:p w14:paraId="93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Финансовому управлению администрации Дергачевского муниципального района о</w:t>
      </w:r>
      <w:r>
        <w:rPr>
          <w:rFonts w:ascii="Times New Roman" w:hAnsi="Times New Roman"/>
          <w:sz w:val="28"/>
        </w:rPr>
        <w:t xml:space="preserve">тразить </w:t>
      </w:r>
      <w:r>
        <w:rPr>
          <w:rFonts w:ascii="Times New Roman" w:hAnsi="Times New Roman"/>
          <w:sz w:val="28"/>
        </w:rPr>
        <w:t>субсиди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в местном бюджете:</w:t>
      </w:r>
    </w:p>
    <w:p w14:paraId="94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доходах по коду бюджетной классификации: </w:t>
      </w:r>
      <w:r>
        <w:rPr>
          <w:rFonts w:ascii="Times New Roman" w:hAnsi="Times New Roman"/>
          <w:sz w:val="28"/>
          <w:u w:val="single"/>
        </w:rPr>
        <w:t xml:space="preserve"> 202 29900 05 0000 150</w:t>
      </w:r>
      <w:r>
        <w:rPr>
          <w:rFonts w:ascii="Times New Roman" w:hAnsi="Times New Roman"/>
          <w:sz w:val="28"/>
        </w:rPr>
        <w:t>;</w:t>
      </w:r>
    </w:p>
    <w:p w14:paraId="95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расходах по соответствующей целевой статье расходов.</w:t>
      </w:r>
    </w:p>
    <w:p w14:paraId="96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Обеспечивать выполнение условий предоставления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, установленных </w:t>
      </w:r>
      <w:r>
        <w:rPr>
          <w:rFonts w:ascii="Times New Roman" w:hAnsi="Times New Roman"/>
          <w:sz w:val="28"/>
        </w:rPr>
        <w:t>пунктом 2.3</w:t>
      </w:r>
      <w:r>
        <w:rPr>
          <w:rFonts w:ascii="Times New Roman" w:hAnsi="Times New Roman"/>
          <w:sz w:val="28"/>
        </w:rPr>
        <w:t xml:space="preserve"> настоящего Соглашения.</w:t>
      </w:r>
    </w:p>
    <w:p w14:paraId="97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Использовать предоставленн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Поселение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субсиди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по целевому назначению в соответствии с пунктом 2.1 настоящего Соглашения.</w:t>
      </w:r>
    </w:p>
    <w:p w14:paraId="98000000">
      <w:pPr>
        <w:pStyle w:val="Style_4"/>
        <w:ind/>
        <w:jc w:val="both"/>
        <w:rPr>
          <w:rFonts w:ascii="Times New Roman" w:hAnsi="Times New Roman"/>
          <w:sz w:val="28"/>
        </w:rPr>
      </w:pPr>
      <w:bookmarkStart w:id="4" w:name="P321"/>
      <w:bookmarkEnd w:id="4"/>
      <w:bookmarkStart w:id="5" w:name="P343"/>
      <w:bookmarkEnd w:id="5"/>
      <w:r>
        <w:rPr>
          <w:rFonts w:ascii="Times New Roman" w:hAnsi="Times New Roman"/>
          <w:sz w:val="28"/>
        </w:rPr>
        <w:t>4.3.4.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Финансовому управлению администрации Дергачевского муниципального района направи</w:t>
      </w:r>
      <w:r>
        <w:rPr>
          <w:rFonts w:ascii="Times New Roman" w:hAnsi="Times New Roman"/>
          <w:sz w:val="28"/>
        </w:rPr>
        <w:t>ть «Отчет об использовании  межбюджетных трансфертов</w:t>
      </w:r>
      <w:r>
        <w:rPr>
          <w:rFonts w:ascii="Times New Roman" w:hAnsi="Times New Roman"/>
          <w:sz w:val="28"/>
        </w:rPr>
        <w:t xml:space="preserve"> в форме субсидии</w:t>
      </w:r>
      <w:r>
        <w:rPr>
          <w:rFonts w:ascii="Times New Roman" w:hAnsi="Times New Roman"/>
          <w:sz w:val="28"/>
        </w:rPr>
        <w:t>» за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не позднее 15 января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на бумажном и электронном носителе в Поселение.</w:t>
      </w:r>
    </w:p>
    <w:p w14:paraId="99000000">
      <w:pPr>
        <w:pStyle w:val="Style_6"/>
        <w:ind/>
        <w:jc w:val="both"/>
        <w:rPr>
          <w:rFonts w:ascii="Times New Roman" w:hAnsi="Times New Roman"/>
          <w:sz w:val="28"/>
        </w:rPr>
      </w:pPr>
      <w:bookmarkStart w:id="6" w:name="P370"/>
      <w:bookmarkEnd w:id="6"/>
      <w:r>
        <w:rPr>
          <w:rFonts w:ascii="Times New Roman" w:hAnsi="Times New Roman"/>
          <w:sz w:val="28"/>
        </w:rPr>
        <w:t>4.3.5.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Возвратить в бюджет Дергачевского муниципального образования не использованный по состоянию на 1 января финансового года, следующего за отчетным, остаток средств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сроки, установленные бюджетным законодательством Российской Федерации.</w:t>
      </w:r>
    </w:p>
    <w:p w14:paraId="9A000000">
      <w:pPr>
        <w:ind/>
        <w:jc w:val="both"/>
        <w:rPr>
          <w:i w:val="1"/>
          <w:sz w:val="28"/>
          <w:highlight w:val="yellow"/>
        </w:rPr>
      </w:pPr>
      <w:r>
        <w:rPr>
          <w:sz w:val="28"/>
        </w:rPr>
        <w:t>4.3.6.</w:t>
      </w:r>
      <w:r>
        <w:rPr>
          <w:sz w:val="28"/>
        </w:rPr>
        <w:t> </w:t>
      </w:r>
      <w:r>
        <w:rPr>
          <w:sz w:val="28"/>
        </w:rPr>
        <w:t>В случае изменения реквизитов, а также смены главного администратора доходов бюджета в течение пяти рабочих дней уведомлять Поселение путем направления соответствующего письменного извещения с последующим оформлением дополнительного соглашения.</w:t>
      </w:r>
      <w:bookmarkStart w:id="7" w:name="P371"/>
      <w:bookmarkEnd w:id="7"/>
    </w:p>
    <w:p w14:paraId="9B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Район вправе:</w:t>
      </w:r>
    </w:p>
    <w:p w14:paraId="9C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Обращаться в Поселение за разъяснениями в связи с исполнением настоящего Соглашения.</w:t>
      </w:r>
    </w:p>
    <w:p w14:paraId="9D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Осуществлять иные права, установленные бюджетным законодательством Российской Федерации, Положением и настоящим Соглашением.</w:t>
      </w:r>
    </w:p>
    <w:p w14:paraId="9E000000">
      <w:pPr>
        <w:pStyle w:val="Style_6"/>
        <w:rPr>
          <w:rFonts w:ascii="Times New Roman" w:hAnsi="Times New Roman"/>
          <w:sz w:val="28"/>
        </w:rPr>
      </w:pPr>
    </w:p>
    <w:p w14:paraId="9F000000">
      <w:pPr>
        <w:pStyle w:val="Style_6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Ответственность Сторон</w:t>
      </w:r>
    </w:p>
    <w:p w14:paraId="A0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14:paraId="A1000000">
      <w:pPr>
        <w:ind/>
        <w:jc w:val="both"/>
        <w:rPr>
          <w:sz w:val="28"/>
        </w:rPr>
      </w:pPr>
      <w:r>
        <w:rPr>
          <w:sz w:val="28"/>
        </w:rPr>
        <w:t>5.2.</w:t>
      </w:r>
      <w:r>
        <w:rPr>
          <w:sz w:val="28"/>
        </w:rPr>
        <w:t> </w:t>
      </w:r>
      <w:r>
        <w:rPr>
          <w:sz w:val="28"/>
        </w:rPr>
        <w:t xml:space="preserve">Органы внутреннего муниципального финансового контроля района имеют право осуществлять контроль за предоставленными средствами </w:t>
      </w:r>
      <w:r>
        <w:rPr>
          <w:sz w:val="28"/>
        </w:rPr>
        <w:t>Субсидии</w:t>
      </w:r>
      <w:r>
        <w:rPr>
          <w:sz w:val="28"/>
        </w:rPr>
        <w:t xml:space="preserve"> </w:t>
      </w:r>
      <w:r>
        <w:rPr>
          <w:sz w:val="28"/>
        </w:rPr>
        <w:t>в соответствии с правовыми актами, регламентирующими их деятельность.</w:t>
      </w:r>
    </w:p>
    <w:p w14:paraId="A2000000">
      <w:pPr>
        <w:pStyle w:val="Style_6"/>
        <w:ind/>
        <w:jc w:val="both"/>
        <w:rPr>
          <w:rFonts w:ascii="Times New Roman" w:hAnsi="Times New Roman"/>
          <w:sz w:val="28"/>
        </w:rPr>
      </w:pPr>
      <w:bookmarkStart w:id="8" w:name="P389"/>
      <w:bookmarkEnd w:id="8"/>
      <w:r>
        <w:rPr>
          <w:rFonts w:ascii="Times New Roman" w:hAnsi="Times New Roman"/>
          <w:sz w:val="28"/>
        </w:rPr>
        <w:t>5.3.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14:paraId="A3000000">
      <w:pPr>
        <w:pStyle w:val="Style_6"/>
        <w:rPr>
          <w:rFonts w:ascii="Times New Roman" w:hAnsi="Times New Roman"/>
          <w:sz w:val="28"/>
        </w:rPr>
      </w:pPr>
      <w:bookmarkStart w:id="9" w:name="P400"/>
      <w:bookmarkEnd w:id="9"/>
    </w:p>
    <w:p w14:paraId="A4000000">
      <w:pPr>
        <w:pStyle w:val="Style_6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VI</w:t>
      </w:r>
      <w:r>
        <w:rPr>
          <w:rFonts w:ascii="Times New Roman" w:hAnsi="Times New Roman"/>
          <w:b w:val="1"/>
          <w:sz w:val="28"/>
        </w:rPr>
        <w:t>. Заключительные положения</w:t>
      </w:r>
    </w:p>
    <w:p w14:paraId="A5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Расторжение настоящего Соглашения возможно при взаимном согласии Сторон.</w:t>
      </w:r>
    </w:p>
    <w:p w14:paraId="A6000000">
      <w:pPr>
        <w:ind/>
        <w:jc w:val="both"/>
        <w:rPr>
          <w:sz w:val="28"/>
        </w:rPr>
      </w:pPr>
      <w:r>
        <w:rPr>
          <w:sz w:val="28"/>
        </w:rPr>
        <w:t>6.2.</w:t>
      </w:r>
      <w:r>
        <w:rPr>
          <w:sz w:val="28"/>
        </w:rPr>
        <w:t> </w:t>
      </w:r>
      <w:r>
        <w:rPr>
          <w:sz w:val="28"/>
        </w:rPr>
        <w:t>Настоящее Соглашение вступает в силу со дня его подписания уполномоченными представителями обеих Сторон и действует до полного исполнения Сторонами своих обязательств по настоящему Соглашению.</w:t>
      </w:r>
    </w:p>
    <w:p w14:paraId="A7000000">
      <w:pPr>
        <w:ind/>
        <w:jc w:val="both"/>
        <w:rPr>
          <w:sz w:val="28"/>
        </w:rPr>
      </w:pPr>
      <w:r>
        <w:rPr>
          <w:sz w:val="28"/>
        </w:rPr>
        <w:t>6.3.</w:t>
      </w:r>
      <w:r>
        <w:rPr>
          <w:sz w:val="28"/>
        </w:rPr>
        <w:t> </w:t>
      </w:r>
      <w:r>
        <w:rPr>
          <w:sz w:val="28"/>
        </w:rPr>
        <w:t>Отношения, не урегулированные настоящим Соглашением, регулируются законодательством Российской Федерации.</w:t>
      </w:r>
    </w:p>
    <w:p w14:paraId="A8000000">
      <w:pPr>
        <w:ind/>
        <w:jc w:val="both"/>
        <w:rPr>
          <w:sz w:val="28"/>
        </w:rPr>
      </w:pPr>
      <w:r>
        <w:rPr>
          <w:sz w:val="28"/>
        </w:rPr>
        <w:t>6.4.</w:t>
      </w:r>
      <w:r>
        <w:rPr>
          <w:sz w:val="28"/>
        </w:rPr>
        <w:t> </w:t>
      </w:r>
      <w:r>
        <w:rPr>
          <w:sz w:val="28"/>
        </w:rPr>
        <w:t>Изменения и дополнения в настоящее Соглашение вносятся по письменному соглашению Сторон в виде дополнительного соглашения к настоящему Соглашению, которое является его неотъемлемой частью.</w:t>
      </w:r>
    </w:p>
    <w:p w14:paraId="A9000000">
      <w:pPr>
        <w:ind/>
        <w:jc w:val="both"/>
        <w:rPr>
          <w:sz w:val="28"/>
        </w:rPr>
      </w:pPr>
      <w:r>
        <w:rPr>
          <w:sz w:val="28"/>
        </w:rPr>
        <w:t>6.5.</w:t>
      </w:r>
      <w:r>
        <w:rPr>
          <w:sz w:val="28"/>
        </w:rPr>
        <w:t> </w:t>
      </w:r>
      <w:r>
        <w:rPr>
          <w:sz w:val="28"/>
        </w:rPr>
        <w:t>Настоящее Соглашение составлено на 5 листах, включая приложение, в 2 (двух) экземплярах, имеющих равную юридическую силу.</w:t>
      </w:r>
    </w:p>
    <w:p w14:paraId="AA000000">
      <w:pPr>
        <w:spacing w:line="228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VI</w:t>
      </w:r>
      <w:r>
        <w:rPr>
          <w:b w:val="1"/>
          <w:sz w:val="28"/>
        </w:rPr>
        <w:t>. Юридические адреса и подписи Сторон</w:t>
      </w:r>
    </w:p>
    <w:p w14:paraId="AB000000">
      <w:pPr>
        <w:spacing w:line="228" w:lineRule="auto"/>
        <w:ind/>
        <w:rPr>
          <w:sz w:val="28"/>
        </w:rPr>
      </w:pPr>
    </w:p>
    <w:tbl>
      <w:tblPr>
        <w:tblStyle w:val="Style_8"/>
        <w:tblInd w:type="dxa" w:w="-176"/>
        <w:tblLayout w:type="fixed"/>
      </w:tblPr>
      <w:tblGrid>
        <w:gridCol w:w="5246"/>
        <w:gridCol w:w="4785"/>
      </w:tblGrid>
      <w:tr>
        <w:tc>
          <w:tcPr>
            <w:tcW w:type="dxa" w:w="5246"/>
          </w:tcPr>
          <w:p w14:paraId="AC000000">
            <w:pPr>
              <w:pStyle w:val="Style_6"/>
              <w:spacing w:line="228" w:lineRule="auto"/>
              <w:ind/>
              <w:jc w:val="both"/>
              <w:rPr>
                <w:rFonts w:ascii="Times New Roman" w:hAnsi="Times New Roman"/>
                <w:b w:val="1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6.1.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РАЙОН</w:t>
            </w:r>
          </w:p>
        </w:tc>
        <w:tc>
          <w:tcPr>
            <w:tcW w:type="dxa" w:w="4785"/>
          </w:tcPr>
          <w:p w14:paraId="AD000000">
            <w:pPr>
              <w:pStyle w:val="Style_6"/>
              <w:spacing w:line="228" w:lineRule="auto"/>
              <w:ind/>
              <w:jc w:val="both"/>
              <w:rPr>
                <w:rFonts w:ascii="Times New Roman" w:hAnsi="Times New Roman"/>
                <w:b w:val="1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6.2. </w:t>
            </w:r>
            <w:r>
              <w:rPr>
                <w:rFonts w:ascii="Times New Roman" w:hAnsi="Times New Roman"/>
                <w:b w:val="1"/>
                <w:sz w:val="28"/>
                <w:u w:val="single"/>
              </w:rPr>
              <w:t>ПОСЕЛЕНИЕ</w:t>
            </w:r>
          </w:p>
        </w:tc>
      </w:tr>
      <w:tr>
        <w:tc>
          <w:tcPr>
            <w:tcW w:type="dxa" w:w="5246"/>
          </w:tcPr>
          <w:p w14:paraId="AE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 администрации Дергачевского           муниципального района Саратовской    области</w:t>
            </w:r>
          </w:p>
          <w:p w14:paraId="AF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Саратовская область, Дергачевский район, р.п. Дергачи, пл. М. Горького, д. 5</w:t>
            </w:r>
          </w:p>
          <w:p w14:paraId="B0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1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н</w:t>
            </w:r>
            <w:r>
              <w:rPr>
                <w:rFonts w:ascii="Times New Roman" w:hAnsi="Times New Roman"/>
                <w:sz w:val="28"/>
              </w:rPr>
              <w:t>ачальник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управления образования</w:t>
            </w:r>
          </w:p>
          <w:p w14:paraId="B2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3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4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 /Н</w:t>
            </w:r>
            <w:r>
              <w:rPr>
                <w:rFonts w:ascii="Times New Roman" w:hAnsi="Times New Roman"/>
                <w:sz w:val="28"/>
              </w:rPr>
              <w:t>.Б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Харюкова</w:t>
            </w:r>
            <w:r>
              <w:rPr>
                <w:rFonts w:ascii="Times New Roman" w:hAnsi="Times New Roman"/>
                <w:sz w:val="28"/>
              </w:rPr>
              <w:t>/</w:t>
            </w:r>
          </w:p>
          <w:p w14:paraId="B5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6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</w:t>
            </w:r>
            <w:r>
              <w:rPr>
                <w:rFonts w:ascii="Times New Roman" w:hAnsi="Times New Roman"/>
                <w:sz w:val="28"/>
              </w:rPr>
              <w:t>культуры и кино</w:t>
            </w:r>
            <w:r>
              <w:rPr>
                <w:rFonts w:ascii="Times New Roman" w:hAnsi="Times New Roman"/>
                <w:sz w:val="28"/>
              </w:rPr>
              <w:t xml:space="preserve"> администрации Дергачевского           муниципального района Саратовской    области</w:t>
            </w:r>
          </w:p>
          <w:p w14:paraId="B7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Саратовская область, Дергачевский район, р.п. Дергачи</w:t>
            </w:r>
            <w:r>
              <w:rPr>
                <w:rFonts w:ascii="Times New Roman" w:hAnsi="Times New Roman"/>
                <w:sz w:val="28"/>
                <w:highlight w:val="yellow"/>
              </w:rPr>
              <w:t>, пл. М. Горького, д. 5</w:t>
            </w:r>
          </w:p>
          <w:p w14:paraId="B8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9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ачальник  </w:t>
            </w:r>
            <w:r>
              <w:rPr>
                <w:rFonts w:ascii="Times New Roman" w:hAnsi="Times New Roman"/>
                <w:sz w:val="28"/>
              </w:rPr>
              <w:t>управления культуры и кино</w:t>
            </w:r>
          </w:p>
          <w:p w14:paraId="BA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B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C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 /Н</w:t>
            </w:r>
            <w:r>
              <w:rPr>
                <w:rFonts w:ascii="Times New Roman" w:hAnsi="Times New Roman"/>
                <w:sz w:val="28"/>
              </w:rPr>
              <w:t>.Н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Котогроб</w:t>
            </w:r>
            <w:r>
              <w:rPr>
                <w:rFonts w:ascii="Times New Roman" w:hAnsi="Times New Roman"/>
                <w:sz w:val="28"/>
              </w:rPr>
              <w:t>/</w:t>
            </w:r>
          </w:p>
          <w:p w14:paraId="BD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E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Дергачевского           муниципального района Саратовской    области</w:t>
            </w:r>
          </w:p>
          <w:p w14:paraId="BF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0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Саратовская область, Дергачевский район, р.п. Дергачи, пл. М. Горького, д. 4</w:t>
            </w:r>
          </w:p>
          <w:p w14:paraId="C1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</w:p>
          <w:p w14:paraId="C2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yellow"/>
              </w:rPr>
              <w:t>Первый заместитель главы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Дергачевского муниципального района </w:t>
            </w:r>
          </w:p>
          <w:p w14:paraId="C3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 xml:space="preserve">Саратовской области </w:t>
            </w:r>
          </w:p>
          <w:p w14:paraId="C4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  <w:p w14:paraId="C5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>___________ /</w:t>
            </w:r>
            <w:r>
              <w:rPr>
                <w:rFonts w:ascii="Times New Roman" w:hAnsi="Times New Roman"/>
                <w:sz w:val="28"/>
                <w:highlight w:val="yellow"/>
              </w:rPr>
              <w:t>Д.А. Коныхов</w:t>
            </w:r>
            <w:r>
              <w:rPr>
                <w:rFonts w:ascii="Times New Roman" w:hAnsi="Times New Roman"/>
                <w:sz w:val="28"/>
                <w:highlight w:val="yellow"/>
              </w:rPr>
              <w:t>/</w:t>
            </w:r>
          </w:p>
        </w:tc>
        <w:tc>
          <w:tcPr>
            <w:tcW w:type="dxa" w:w="4785"/>
          </w:tcPr>
          <w:p w14:paraId="C6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Дергачевского           муниципального района Саратовской    области</w:t>
            </w:r>
          </w:p>
          <w:p w14:paraId="C7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8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Саратовская область, Дергачевский район, р.п. Дергачи, пл. М. Горького, д. 4</w:t>
            </w:r>
          </w:p>
          <w:p w14:paraId="C9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</w:p>
          <w:p w14:paraId="CA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Глава Дергачевского муниципального района </w:t>
            </w:r>
          </w:p>
          <w:p w14:paraId="CB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Саратовской области </w:t>
            </w:r>
          </w:p>
          <w:p w14:paraId="CC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D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 /С.Н.Мурзаков/</w:t>
            </w:r>
          </w:p>
          <w:p w14:paraId="CE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F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Дергачевского           муниципального образования Дергачевского муниципального района Саратовской    области</w:t>
            </w:r>
          </w:p>
          <w:p w14:paraId="D0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1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Саратовская область, Дергачевский район, р.п. Дергачи, ул. Ленина, д.80 </w:t>
            </w:r>
          </w:p>
          <w:p w14:paraId="D2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3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Де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гачевского муниципального образования</w:t>
            </w:r>
          </w:p>
          <w:p w14:paraId="D4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5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6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7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 xml:space="preserve">___________ / </w:t>
            </w:r>
            <w:r>
              <w:rPr>
                <w:rFonts w:ascii="Times New Roman" w:hAnsi="Times New Roman"/>
                <w:sz w:val="28"/>
                <w:highlight w:val="yellow"/>
              </w:rPr>
              <w:t>Н.М. Кукушкин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 /</w:t>
            </w:r>
          </w:p>
        </w:tc>
      </w:tr>
      <w:tr>
        <w:tc>
          <w:tcPr>
            <w:tcW w:type="dxa" w:w="5246"/>
          </w:tcPr>
          <w:p w14:paraId="D8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</w:t>
            </w:r>
            <w:r>
              <w:rPr>
                <w:rFonts w:ascii="Times New Roman" w:hAnsi="Times New Roman"/>
                <w:sz w:val="28"/>
              </w:rPr>
              <w:t>___________</w:t>
            </w:r>
            <w:r>
              <w:rPr>
                <w:rFonts w:ascii="Times New Roman" w:hAnsi="Times New Roman"/>
                <w:sz w:val="28"/>
              </w:rPr>
              <w:t>_______202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г. </w:t>
            </w:r>
          </w:p>
          <w:p w14:paraId="D9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A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type="dxa" w:w="4785"/>
          </w:tcPr>
          <w:p w14:paraId="DB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  <w:p w14:paraId="DC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D000000">
            <w:pPr>
              <w:pStyle w:val="Style_6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</w:tr>
    </w:tbl>
    <w:p w14:paraId="DE000000">
      <w:pPr>
        <w:pStyle w:val="Style_7"/>
        <w:tabs>
          <w:tab w:leader="none" w:pos="1146" w:val="left"/>
          <w:tab w:leader="none" w:pos="5174" w:val="center"/>
          <w:tab w:leader="none" w:pos="7590" w:val="left"/>
        </w:tabs>
        <w:spacing w:after="578" w:before="0"/>
        <w:ind w:firstLine="709"/>
        <w:jc w:val="left"/>
        <w:rPr>
          <w:sz w:val="28"/>
        </w:rPr>
      </w:pPr>
      <w:r>
        <w:rPr>
          <w:sz w:val="28"/>
        </w:rPr>
        <w:tab/>
      </w:r>
    </w:p>
    <w:p w14:paraId="DF000000">
      <w:pPr>
        <w:sectPr>
          <w:type w:val="continuous"/>
          <w:pgSz w:h="16837" w:w="11905"/>
          <w:pgMar w:bottom="284" w:footer="720" w:gutter="0" w:header="720" w:left="1560" w:right="706" w:top="851"/>
        </w:sectPr>
      </w:pPr>
    </w:p>
    <w:p w14:paraId="E0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</w:p>
    <w:p w14:paraId="E1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E2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Соглашению</w:t>
      </w:r>
      <w:r>
        <w:rPr>
          <w:rFonts w:ascii="Times New Roman" w:hAnsi="Times New Roman"/>
          <w:sz w:val="24"/>
        </w:rPr>
        <w:t xml:space="preserve"> от   ______ № _____________  </w:t>
      </w:r>
    </w:p>
    <w:p w14:paraId="E3000000">
      <w:pPr>
        <w:pStyle w:val="Style_6"/>
        <w:ind w:firstLine="0" w:left="7371"/>
        <w:jc w:val="right"/>
        <w:outlineLvl w:val="2"/>
        <w:rPr>
          <w:rFonts w:ascii="Times New Roman" w:hAnsi="Times New Roman"/>
          <w:sz w:val="24"/>
        </w:rPr>
      </w:pPr>
    </w:p>
    <w:p w14:paraId="E4000000">
      <w:pPr>
        <w:ind/>
        <w:jc w:val="center"/>
        <w:rPr>
          <w:sz w:val="24"/>
        </w:rPr>
      </w:pPr>
      <w:r>
        <w:rPr>
          <w:sz w:val="24"/>
        </w:rPr>
        <w:t>Отчет</w:t>
      </w:r>
    </w:p>
    <w:p w14:paraId="E5000000">
      <w:pPr>
        <w:ind/>
        <w:jc w:val="center"/>
        <w:rPr>
          <w:sz w:val="24"/>
        </w:rPr>
      </w:pPr>
      <w:r>
        <w:rPr>
          <w:sz w:val="24"/>
        </w:rPr>
        <w:t>о расходах, в целях софинан</w:t>
      </w:r>
      <w:r>
        <w:rPr>
          <w:sz w:val="24"/>
        </w:rPr>
        <w:t>сирования которых предоставлены межбюджетные трансферты</w:t>
      </w:r>
      <w:r>
        <w:rPr>
          <w:sz w:val="24"/>
        </w:rPr>
        <w:t xml:space="preserve"> в форме субсидии</w:t>
      </w: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26"/>
        <w:gridCol w:w="1336"/>
      </w:tblGrid>
      <w:tr>
        <w:tc>
          <w:tcPr>
            <w:tcW w:type="dxa" w:w="1526"/>
            <w:vMerge w:val="restart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E6000000">
            <w:pPr>
              <w:ind/>
              <w:jc w:val="both"/>
              <w:rPr>
                <w:sz w:val="24"/>
              </w:rPr>
            </w:pPr>
          </w:p>
          <w:p w14:paraId="E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Дата</w:t>
            </w:r>
          </w:p>
          <w:p w14:paraId="E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по ОКПО</w:t>
            </w:r>
          </w:p>
          <w:p w14:paraId="E9000000">
            <w:pPr>
              <w:ind/>
              <w:jc w:val="both"/>
              <w:rPr>
                <w:sz w:val="24"/>
              </w:rPr>
            </w:pPr>
          </w:p>
          <w:p w14:paraId="E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Глава по БК</w:t>
            </w:r>
          </w:p>
          <w:p w14:paraId="EB000000">
            <w:pPr>
              <w:ind/>
              <w:jc w:val="both"/>
              <w:rPr>
                <w:sz w:val="24"/>
              </w:rPr>
            </w:pPr>
          </w:p>
          <w:p w14:paraId="E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по ОКТМО</w:t>
            </w:r>
          </w:p>
          <w:p w14:paraId="ED000000">
            <w:pPr>
              <w:ind/>
              <w:jc w:val="both"/>
              <w:rPr>
                <w:sz w:val="24"/>
              </w:rPr>
            </w:pPr>
          </w:p>
          <w:p w14:paraId="EE000000">
            <w:pPr>
              <w:ind/>
              <w:jc w:val="both"/>
              <w:rPr>
                <w:sz w:val="24"/>
              </w:rPr>
            </w:pPr>
          </w:p>
          <w:p w14:paraId="E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по ОКПО</w:t>
            </w:r>
          </w:p>
          <w:p w14:paraId="F0000000">
            <w:pPr>
              <w:ind/>
              <w:jc w:val="both"/>
              <w:rPr>
                <w:sz w:val="24"/>
              </w:rPr>
            </w:pPr>
          </w:p>
          <w:p w14:paraId="F1000000">
            <w:pPr>
              <w:ind/>
              <w:jc w:val="both"/>
              <w:rPr>
                <w:sz w:val="24"/>
              </w:rPr>
            </w:pPr>
          </w:p>
          <w:p w14:paraId="F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Глава по БК</w:t>
            </w:r>
          </w:p>
          <w:p w14:paraId="F3000000">
            <w:pPr>
              <w:ind/>
              <w:jc w:val="both"/>
              <w:rPr>
                <w:sz w:val="24"/>
              </w:rPr>
            </w:pPr>
          </w:p>
          <w:p w14:paraId="F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по БК</w:t>
            </w:r>
          </w:p>
          <w:p w14:paraId="F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по БК</w:t>
            </w:r>
          </w:p>
          <w:p w14:paraId="F6000000">
            <w:pPr>
              <w:ind/>
              <w:jc w:val="both"/>
              <w:rPr>
                <w:sz w:val="24"/>
              </w:rPr>
            </w:pPr>
          </w:p>
          <w:p w14:paraId="F7000000">
            <w:pPr>
              <w:ind/>
              <w:jc w:val="both"/>
              <w:rPr>
                <w:sz w:val="24"/>
              </w:rPr>
            </w:pPr>
          </w:p>
          <w:p w14:paraId="F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ОКЕИ</w:t>
            </w:r>
          </w:p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Коды</w:t>
            </w:r>
          </w:p>
        </w:tc>
      </w:tr>
      <w:t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548"/>
        </w:trP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570"/>
        </w:trP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834"/>
        </w:trP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689"/>
        </w:trP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557"/>
        </w:trP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282"/>
        </w:trP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1526"/>
            <w:gridSpan w:val="1"/>
            <w:vMerge w:val="continue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1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both"/>
              <w:rPr>
                <w:sz w:val="24"/>
              </w:rPr>
            </w:pPr>
          </w:p>
        </w:tc>
      </w:tr>
    </w:tbl>
    <w:p w14:paraId="03010000">
      <w:pPr>
        <w:ind/>
        <w:jc w:val="center"/>
        <w:rPr>
          <w:sz w:val="24"/>
        </w:rPr>
      </w:pPr>
      <w:r>
        <w:rPr>
          <w:sz w:val="24"/>
        </w:rPr>
        <w:t xml:space="preserve">                                   </w:t>
      </w:r>
      <w:r>
        <w:rPr>
          <w:sz w:val="24"/>
        </w:rPr>
        <w:t>на ___ __________ 20</w:t>
      </w:r>
      <w:r>
        <w:rPr>
          <w:sz w:val="24"/>
        </w:rPr>
        <w:t>___ г.</w:t>
      </w:r>
    </w:p>
    <w:tbl>
      <w:tblPr>
        <w:tblStyle w:val="Style_8"/>
        <w:tblLayout w:type="fixed"/>
      </w:tblPr>
      <w:tblGrid>
        <w:gridCol w:w="4669"/>
        <w:gridCol w:w="6779"/>
      </w:tblGrid>
      <w:tr>
        <w:tc>
          <w:tcPr>
            <w:tcW w:type="dxa" w:w="4669"/>
          </w:tcPr>
          <w:p w14:paraId="04010000">
            <w:pPr>
              <w:pStyle w:val="Style_9"/>
              <w:spacing w:after="0" w:line="240" w:lineRule="auto"/>
              <w:ind w:right="688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уполномоченного органа  местного самоуправления </w:t>
            </w:r>
          </w:p>
        </w:tc>
        <w:tc>
          <w:tcPr>
            <w:tcW w:type="dxa" w:w="6779"/>
          </w:tcPr>
          <w:p w14:paraId="05010000">
            <w:pPr>
              <w:ind/>
              <w:jc w:val="both"/>
              <w:rPr>
                <w:sz w:val="24"/>
              </w:rPr>
            </w:pPr>
          </w:p>
          <w:p w14:paraId="0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</w:tr>
      <w:tr>
        <w:tc>
          <w:tcPr>
            <w:tcW w:type="dxa" w:w="4669"/>
          </w:tcPr>
          <w:p w14:paraId="07010000">
            <w:pPr>
              <w:ind/>
              <w:jc w:val="both"/>
              <w:rPr>
                <w:color w:val="000000"/>
                <w:sz w:val="24"/>
              </w:rPr>
            </w:pPr>
          </w:p>
          <w:p w14:paraId="08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местного бюджета</w:t>
            </w:r>
          </w:p>
          <w:p w14:paraId="09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779"/>
          </w:tcPr>
          <w:p w14:paraId="0A010000">
            <w:pPr>
              <w:ind/>
              <w:jc w:val="both"/>
              <w:rPr>
                <w:sz w:val="24"/>
              </w:rPr>
            </w:pPr>
          </w:p>
          <w:p w14:paraId="0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</w:tr>
      <w:tr>
        <w:tc>
          <w:tcPr>
            <w:tcW w:type="dxa" w:w="4669"/>
          </w:tcPr>
          <w:p w14:paraId="0C010000">
            <w:pPr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финансового органа муниципального образования             </w:t>
            </w:r>
          </w:p>
        </w:tc>
        <w:tc>
          <w:tcPr>
            <w:tcW w:type="dxa" w:w="6779"/>
          </w:tcPr>
          <w:p w14:paraId="0D010000">
            <w:pPr>
              <w:ind/>
              <w:jc w:val="both"/>
              <w:rPr>
                <w:sz w:val="24"/>
              </w:rPr>
            </w:pPr>
          </w:p>
          <w:p w14:paraId="0E010000">
            <w:pPr>
              <w:ind/>
              <w:jc w:val="both"/>
              <w:rPr>
                <w:sz w:val="24"/>
              </w:rPr>
            </w:pPr>
          </w:p>
          <w:p w14:paraId="0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</w:tr>
      <w:tr>
        <w:tc>
          <w:tcPr>
            <w:tcW w:type="dxa" w:w="4669"/>
          </w:tcPr>
          <w:p w14:paraId="10010000">
            <w:pPr>
              <w:pStyle w:val="Style_9"/>
              <w:spacing w:after="0" w:line="240" w:lineRule="auto"/>
              <w:ind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Наименование органа исполнительной власти - главного распорядителя средств бюджета субъекта Российской Федерации</w:t>
            </w:r>
          </w:p>
        </w:tc>
        <w:tc>
          <w:tcPr>
            <w:tcW w:type="dxa" w:w="6779"/>
          </w:tcPr>
          <w:p w14:paraId="11010000">
            <w:pPr>
              <w:ind/>
              <w:jc w:val="both"/>
              <w:rPr>
                <w:sz w:val="24"/>
              </w:rPr>
            </w:pPr>
          </w:p>
          <w:p w14:paraId="12010000">
            <w:pPr>
              <w:ind/>
              <w:jc w:val="both"/>
              <w:rPr>
                <w:sz w:val="24"/>
              </w:rPr>
            </w:pPr>
          </w:p>
          <w:p w14:paraId="13010000">
            <w:pPr>
              <w:ind/>
              <w:jc w:val="both"/>
              <w:rPr>
                <w:sz w:val="24"/>
              </w:rPr>
            </w:pPr>
          </w:p>
          <w:p w14:paraId="14010000">
            <w:pPr>
              <w:ind/>
              <w:jc w:val="both"/>
              <w:rPr>
                <w:sz w:val="24"/>
              </w:rPr>
            </w:pPr>
          </w:p>
          <w:p w14:paraId="1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</w:tr>
      <w:tr>
        <w:trPr>
          <w:trHeight w:hRule="atLeast" w:val="234"/>
        </w:trPr>
        <w:tc>
          <w:tcPr>
            <w:tcW w:type="dxa" w:w="4669"/>
          </w:tcPr>
          <w:p w14:paraId="16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межбюджетных трансфертов</w:t>
            </w:r>
            <w:r>
              <w:rPr>
                <w:color w:val="000000"/>
                <w:sz w:val="24"/>
              </w:rPr>
              <w:t xml:space="preserve"> в форме субсидии</w:t>
            </w:r>
          </w:p>
        </w:tc>
        <w:tc>
          <w:tcPr>
            <w:tcW w:type="dxa" w:w="6779"/>
          </w:tcPr>
          <w:p w14:paraId="17010000">
            <w:pPr>
              <w:ind/>
              <w:jc w:val="both"/>
              <w:rPr>
                <w:sz w:val="24"/>
              </w:rPr>
            </w:pPr>
          </w:p>
          <w:p w14:paraId="1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</w:t>
            </w:r>
          </w:p>
        </w:tc>
      </w:tr>
      <w:tr>
        <w:tc>
          <w:tcPr>
            <w:tcW w:type="dxa" w:w="4669"/>
          </w:tcPr>
          <w:p w14:paraId="19010000">
            <w:pPr>
              <w:pStyle w:val="Style_9"/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  <w:p w14:paraId="1A010000">
            <w:pPr>
              <w:pStyle w:val="Style_9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Периодичность:</w:t>
            </w:r>
          </w:p>
        </w:tc>
        <w:tc>
          <w:tcPr>
            <w:tcW w:type="dxa" w:w="6779"/>
          </w:tcPr>
          <w:p w14:paraId="1B01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11448"/>
            <w:gridSpan w:val="2"/>
          </w:tcPr>
          <w:p w14:paraId="1C010000">
            <w:pPr>
              <w:pStyle w:val="Style_9"/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</w:p>
          <w:p w14:paraId="1D010000">
            <w:pPr>
              <w:pStyle w:val="Style_9"/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Единица измерения рубль (с точностью до второго десятичного знака после запятой)</w:t>
            </w:r>
          </w:p>
          <w:p w14:paraId="1E010000">
            <w:pPr>
              <w:ind/>
              <w:jc w:val="both"/>
              <w:rPr>
                <w:sz w:val="24"/>
              </w:rPr>
            </w:pPr>
          </w:p>
        </w:tc>
      </w:tr>
    </w:tbl>
    <w:p w14:paraId="1F010000">
      <w:pPr>
        <w:ind/>
        <w:jc w:val="center"/>
        <w:rPr>
          <w:sz w:val="24"/>
        </w:rPr>
      </w:pPr>
    </w:p>
    <w:p w14:paraId="20010000">
      <w:pPr>
        <w:ind/>
        <w:jc w:val="both"/>
        <w:rPr>
          <w:sz w:val="24"/>
        </w:rPr>
      </w:pPr>
      <w:r>
        <w:rPr>
          <w:sz w:val="24"/>
        </w:rPr>
        <w:br/>
      </w:r>
      <w:r>
        <w:rPr>
          <w:sz w:val="24"/>
        </w:rPr>
        <w:t>1. Движение денежных средств</w:t>
      </w:r>
    </w:p>
    <w:tbl>
      <w:tblPr>
        <w:tblStyle w:val="Style_8"/>
        <w:tblInd w:type="dxa" w:w="-112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51"/>
        <w:gridCol w:w="918"/>
        <w:gridCol w:w="1386"/>
        <w:gridCol w:w="1783"/>
        <w:gridCol w:w="1556"/>
        <w:gridCol w:w="1851"/>
      </w:tblGrid>
      <w:tr>
        <w:tc>
          <w:tcPr>
            <w:tcW w:type="dxa" w:w="30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Код строки</w:t>
            </w:r>
          </w:p>
        </w:tc>
        <w:tc>
          <w:tcPr>
            <w:tcW w:type="dxa" w:w="65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Средства местного бюджета </w:t>
            </w:r>
          </w:p>
        </w:tc>
      </w:tr>
      <w:tr>
        <w:tc>
          <w:tcPr>
            <w:tcW w:type="dxa" w:w="3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3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числе: средства межбюджетных трансфертов</w:t>
            </w:r>
            <w:r>
              <w:rPr>
                <w:sz w:val="24"/>
              </w:rPr>
              <w:t xml:space="preserve"> в форме субсидии</w:t>
            </w:r>
            <w:r>
              <w:rPr>
                <w:sz w:val="24"/>
              </w:rPr>
              <w:t xml:space="preserve"> из бюджета субъекта Российской Федерации</w:t>
            </w:r>
          </w:p>
        </w:tc>
      </w:tr>
      <w:tr>
        <w:tc>
          <w:tcPr>
            <w:tcW w:type="dxa" w:w="30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 отчетный период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нарастающим итогом с начало года 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 отчетный период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нарастающим итогом с начало года </w:t>
            </w: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both"/>
            </w:pPr>
            <w:r>
              <w:t>Остаток средств на начало года, всего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</w:pPr>
            <w:r>
              <w:t>010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 w:firstLine="0" w:left="-34"/>
              <w:jc w:val="center"/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both"/>
            </w:pPr>
            <w:r>
              <w:t>из них</w:t>
            </w:r>
            <w:r>
              <w:t>:</w:t>
            </w:r>
          </w:p>
          <w:p w14:paraId="37010000">
            <w:pPr>
              <w:ind/>
              <w:jc w:val="both"/>
            </w:pPr>
            <w:r>
              <w:t xml:space="preserve">подлежит возврату в бюджет </w:t>
            </w:r>
            <w:r>
              <w:t>Поселения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</w:pPr>
            <w:r>
              <w:t>011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 w:firstLine="0" w:left="-34"/>
              <w:jc w:val="center"/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both"/>
            </w:pPr>
            <w:r>
              <w:t>Объем межбюджетных трансфертов</w:t>
            </w:r>
            <w:r>
              <w:t xml:space="preserve"> в форме субсидии</w:t>
            </w:r>
            <w:r>
              <w:t xml:space="preserve">, предоставленный </w:t>
            </w:r>
            <w:r>
              <w:t>Району</w:t>
            </w:r>
            <w:r>
              <w:t xml:space="preserve"> из бюджета </w:t>
            </w:r>
            <w:r>
              <w:t>Поселения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</w:pPr>
            <w:r>
              <w:t>020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</w:pP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</w:pP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both"/>
            </w:pPr>
            <w:r>
              <w:t xml:space="preserve">Предусмотрено в бюджете (сводной бюджетной росписью) </w:t>
            </w:r>
            <w:r>
              <w:t>Района расходов</w:t>
            </w:r>
            <w:r>
              <w:t>, в целях осуще</w:t>
            </w:r>
            <w:r>
              <w:t>ствления которых предоставлены межбюджетные трансферты</w:t>
            </w:r>
            <w:r>
              <w:t xml:space="preserve"> в форме субсидии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</w:pPr>
            <w:r>
              <w:t>030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</w:pP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</w:pP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 w:firstLine="0" w:left="-34"/>
              <w:jc w:val="center"/>
            </w:pPr>
            <w:r>
              <w:t>Х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</w:pPr>
            <w:r>
              <w:t>Х</w:t>
            </w: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both"/>
            </w:pPr>
            <w:r>
              <w:t>Поступило средств межбюджетных трансфертов</w:t>
            </w:r>
            <w:r>
              <w:t xml:space="preserve"> в форме субсидии</w:t>
            </w:r>
            <w:r>
              <w:t xml:space="preserve"> в бюджет</w:t>
            </w:r>
            <w:r>
              <w:t xml:space="preserve"> Района</w:t>
            </w:r>
            <w:r>
              <w:t xml:space="preserve"> из бюджета </w:t>
            </w:r>
            <w:r>
              <w:t>Поселения</w:t>
            </w:r>
            <w:r>
              <w:t xml:space="preserve"> 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</w:pPr>
            <w:r>
              <w:t>040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 w:firstLine="0" w:left="-34"/>
              <w:jc w:val="center"/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both"/>
            </w:pPr>
            <w:r>
              <w:t xml:space="preserve">Израсходовано средств </w:t>
            </w:r>
            <w:r>
              <w:t xml:space="preserve">поселения </w:t>
            </w:r>
            <w:r>
              <w:t>(кассовый расход)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</w:pPr>
            <w:r>
              <w:t>050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</w:pP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</w:pP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both"/>
            </w:pPr>
            <w:r>
              <w:t>Восстановлено средств межбюджетных трансфертов</w:t>
            </w:r>
            <w:r>
              <w:t xml:space="preserve"> в форме субсидии</w:t>
            </w:r>
            <w:r>
              <w:t xml:space="preserve"> в </w:t>
            </w:r>
            <w:r>
              <w:t xml:space="preserve">местный </w:t>
            </w:r>
            <w:r>
              <w:t>бюджет, всего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</w:pPr>
            <w:r>
              <w:t>060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 w:firstLine="0" w:left="-34"/>
              <w:jc w:val="center"/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both"/>
            </w:pPr>
            <w:r>
              <w:t>в том числе:</w:t>
            </w:r>
          </w:p>
          <w:p w14:paraId="5C010000">
            <w:pPr>
              <w:ind/>
              <w:jc w:val="both"/>
            </w:pPr>
            <w:r>
              <w:t>использованных не по целевому назначению в текущем году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</w:pPr>
            <w:r>
              <w:t>061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tabs>
                <w:tab w:leader="none" w:pos="1275" w:val="left"/>
              </w:tabs>
              <w:ind/>
              <w:jc w:val="both"/>
            </w:pPr>
            <w:r>
              <w:t>использованных не по целевому назначению в предшествующие годы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</w:pPr>
            <w:r>
              <w:t>062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both"/>
            </w:pPr>
            <w:r>
              <w:t>использованных в предшествующие годы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</w:pPr>
            <w:r>
              <w:t>063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both"/>
            </w:pPr>
            <w:r>
              <w:t xml:space="preserve">Возвращено в бюджет </w:t>
            </w:r>
            <w:r>
              <w:t>Поселения</w:t>
            </w:r>
            <w:r>
              <w:t xml:space="preserve"> </w:t>
            </w:r>
            <w:r>
              <w:t>средств межбюджетных трансфертов</w:t>
            </w:r>
            <w:r>
              <w:t xml:space="preserve"> в форме субсидии</w:t>
            </w:r>
            <w:r>
              <w:t>, восстановленных в бюджет</w:t>
            </w:r>
            <w:r>
              <w:t xml:space="preserve"> Поселения</w:t>
            </w:r>
            <w:r>
              <w:t>, всего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</w:pPr>
            <w:r>
              <w:t>070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both"/>
            </w:pPr>
            <w:r>
              <w:t>в том числе</w:t>
            </w:r>
          </w:p>
          <w:p w14:paraId="75010000">
            <w:pPr>
              <w:ind/>
              <w:jc w:val="both"/>
            </w:pPr>
            <w:r>
              <w:t>остаток средств межбюджетных трансфертов</w:t>
            </w:r>
            <w:r>
              <w:t xml:space="preserve"> в форме субсидии</w:t>
            </w:r>
            <w:r>
              <w:t xml:space="preserve"> на начало года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</w:pPr>
            <w:r>
              <w:t>071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both"/>
            </w:pPr>
            <w:r>
              <w:t>использованных не по целевому назначению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</w:pPr>
            <w:r>
              <w:t>072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 w:firstLine="0" w:left="257"/>
            </w:pPr>
            <w:r>
              <w:t>использованных в предшествующие годы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</w:pPr>
            <w:r>
              <w:t>073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both"/>
            </w:pPr>
            <w:r>
              <w:t>Остаток средств межбюджетных трансфертов</w:t>
            </w:r>
            <w:r>
              <w:t xml:space="preserve"> в форме субсидии </w:t>
            </w:r>
            <w:r>
              <w:t>на конец отчётного периода (года), всего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</w:pPr>
            <w:r>
              <w:t>080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</w:pPr>
          </w:p>
        </w:tc>
      </w:tr>
      <w:tr>
        <w:tc>
          <w:tcPr>
            <w:tcW w:type="dxa" w:w="3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both"/>
            </w:pPr>
            <w:r>
              <w:t>из них</w:t>
            </w:r>
          </w:p>
          <w:p w14:paraId="8E010000">
            <w:pPr>
              <w:ind/>
              <w:jc w:val="both"/>
            </w:pPr>
            <w:r>
              <w:t xml:space="preserve">подлежит возврату в бюджет </w:t>
            </w:r>
            <w:r>
              <w:t>Поселения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</w:pPr>
            <w:r>
              <w:t>081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tabs>
                <w:tab w:leader="none" w:pos="958" w:val="left"/>
              </w:tabs>
              <w:ind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tabs>
                <w:tab w:leader="none" w:pos="958" w:val="left"/>
              </w:tabs>
              <w:ind w:firstLine="20"/>
              <w:jc w:val="center"/>
              <w:rPr>
                <w:rFonts w:ascii="Arial" w:hAnsi="Arial"/>
                <w:sz w:val="24"/>
              </w:rPr>
            </w:pPr>
            <w:r>
              <w:t>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</w:pP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</w:pPr>
          </w:p>
        </w:tc>
      </w:tr>
    </w:tbl>
    <w:p w14:paraId="94010000">
      <w:pPr>
        <w:ind w:firstLine="0" w:left="426" w:right="318"/>
        <w:jc w:val="both"/>
        <w:rPr>
          <w:sz w:val="24"/>
        </w:rPr>
      </w:pPr>
    </w:p>
    <w:p w14:paraId="95010000">
      <w:pPr>
        <w:ind w:firstLine="0" w:left="426" w:right="318"/>
        <w:jc w:val="both"/>
        <w:rPr>
          <w:sz w:val="24"/>
        </w:rPr>
      </w:pPr>
      <w:r>
        <w:rPr>
          <w:sz w:val="24"/>
        </w:rPr>
        <w:t xml:space="preserve">2. Сведения о направлении расходов местного бюджета, финансирование которого осуществляется из бюджета </w:t>
      </w:r>
      <w:r>
        <w:rPr>
          <w:sz w:val="24"/>
        </w:rPr>
        <w:t>Поселения</w:t>
      </w:r>
    </w:p>
    <w:tbl>
      <w:tblPr>
        <w:tblStyle w:val="Style_8"/>
        <w:tblLayout w:type="fixed"/>
        <w:tblCellMar>
          <w:left w:type="dxa" w:w="10"/>
          <w:right w:type="dxa" w:w="10"/>
        </w:tblCellMar>
      </w:tblPr>
      <w:tblGrid>
        <w:gridCol w:w="1711"/>
        <w:gridCol w:w="1985"/>
        <w:gridCol w:w="1984"/>
        <w:gridCol w:w="851"/>
        <w:gridCol w:w="1843"/>
        <w:gridCol w:w="1240"/>
        <w:gridCol w:w="1459"/>
      </w:tblGrid>
      <w:tr>
        <w:trPr>
          <w:trHeight w:hRule="exact" w:val="293"/>
        </w:trPr>
        <w:tc>
          <w:tcPr>
            <w:tcW w:type="dxa" w:w="369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6010000">
            <w:pPr>
              <w:ind/>
              <w:jc w:val="center"/>
            </w:pPr>
            <w:r>
              <w:t>Направление расходов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7010000">
            <w:pPr>
              <w:ind/>
              <w:jc w:val="center"/>
            </w:pPr>
            <w:r>
              <w:t>Наименование мероприятия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8010000">
            <w:pPr>
              <w:ind/>
              <w:jc w:val="center"/>
            </w:pPr>
            <w:r>
              <w:t>Код строки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9010000">
            <w:pPr>
              <w:ind/>
              <w:jc w:val="center"/>
            </w:pPr>
            <w:r>
              <w:t>Предусмотрено бюджетных ассигнований в бюджете</w:t>
            </w:r>
            <w:r>
              <w:t xml:space="preserve"> Района</w:t>
            </w:r>
          </w:p>
        </w:tc>
        <w:tc>
          <w:tcPr>
            <w:tcW w:type="dxa" w:w="269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A010000">
            <w:pPr>
              <w:ind/>
              <w:jc w:val="center"/>
            </w:pPr>
            <w:r>
              <w:t xml:space="preserve">Кассовые расходы </w:t>
            </w:r>
            <w:r>
              <w:t>поселения</w:t>
            </w:r>
          </w:p>
        </w:tc>
      </w:tr>
      <w:tr>
        <w:trPr>
          <w:trHeight w:hRule="exact" w:val="538"/>
        </w:trPr>
        <w:tc>
          <w:tcPr>
            <w:tcW w:type="dxa" w:w="17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B010000">
            <w:pPr>
              <w:ind/>
              <w:jc w:val="center"/>
            </w:pPr>
            <w:r>
              <w:t>код по БК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C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269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</w:tr>
      <w:tr>
        <w:trPr>
          <w:trHeight w:hRule="exact" w:val="872"/>
        </w:trPr>
        <w:tc>
          <w:tcPr>
            <w:tcW w:type="dxa" w:w="17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/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D010000">
            <w:pPr>
              <w:ind/>
              <w:jc w:val="center"/>
            </w:pPr>
            <w:r>
              <w:t>з</w:t>
            </w:r>
            <w:r>
              <w:t>а отчётный  период</w:t>
            </w:r>
          </w:p>
        </w:tc>
        <w:tc>
          <w:tcPr>
            <w:tcW w:type="dxa" w:w="1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E010000">
            <w:pPr>
              <w:ind/>
              <w:jc w:val="center"/>
            </w:pPr>
            <w:r>
              <w:t>нарастающим итогом с начало года</w:t>
            </w:r>
          </w:p>
        </w:tc>
      </w:tr>
      <w:tr>
        <w:trPr>
          <w:trHeight w:hRule="atLeast" w:val="266"/>
        </w:trPr>
        <w:tc>
          <w:tcPr>
            <w:tcW w:type="dxa" w:w="1711"/>
            <w:tcMar>
              <w:left w:type="dxa" w:w="10"/>
              <w:right w:type="dxa" w:w="10"/>
            </w:tcMar>
          </w:tcPr>
          <w:p w14:paraId="9F010000">
            <w:pPr>
              <w:ind/>
              <w:jc w:val="center"/>
            </w:pPr>
            <w:r>
              <w:t>1</w:t>
            </w:r>
          </w:p>
        </w:tc>
        <w:tc>
          <w:tcPr>
            <w:tcW w:type="dxa" w:w="1985"/>
            <w:shd w:fill="auto" w:val="clear"/>
            <w:tcMar>
              <w:left w:type="dxa" w:w="10"/>
              <w:right w:type="dxa" w:w="10"/>
            </w:tcMar>
          </w:tcPr>
          <w:p w14:paraId="A0010000">
            <w:pPr>
              <w:ind/>
              <w:jc w:val="center"/>
            </w:pPr>
            <w:r>
              <w:t>2</w:t>
            </w:r>
          </w:p>
        </w:tc>
        <w:tc>
          <w:tcPr>
            <w:tcW w:type="dxa" w:w="1984"/>
            <w:shd w:fill="auto" w:val="clear"/>
            <w:tcMar>
              <w:left w:type="dxa" w:w="10"/>
              <w:right w:type="dxa" w:w="10"/>
            </w:tcMar>
          </w:tcPr>
          <w:p w14:paraId="A1010000">
            <w:pPr>
              <w:ind/>
              <w:jc w:val="center"/>
            </w:pPr>
            <w:r>
              <w:t>3</w:t>
            </w:r>
          </w:p>
        </w:tc>
        <w:tc>
          <w:tcPr>
            <w:tcW w:type="dxa" w:w="851"/>
            <w:shd w:fill="auto" w:val="clear"/>
            <w:tcMar>
              <w:left w:type="dxa" w:w="10"/>
              <w:right w:type="dxa" w:w="10"/>
            </w:tcMar>
          </w:tcPr>
          <w:p w14:paraId="A2010000">
            <w:pPr>
              <w:ind/>
              <w:jc w:val="center"/>
            </w:pPr>
            <w:r>
              <w:t>4</w:t>
            </w:r>
          </w:p>
        </w:tc>
        <w:tc>
          <w:tcPr>
            <w:tcW w:type="dxa" w:w="1843"/>
            <w:shd w:fill="auto" w:val="clear"/>
            <w:tcMar>
              <w:left w:type="dxa" w:w="10"/>
              <w:right w:type="dxa" w:w="10"/>
            </w:tcMar>
          </w:tcPr>
          <w:p w14:paraId="A3010000">
            <w:pPr>
              <w:ind/>
              <w:jc w:val="center"/>
            </w:pPr>
            <w:r>
              <w:t>5</w:t>
            </w:r>
          </w:p>
        </w:tc>
        <w:tc>
          <w:tcPr>
            <w:tcW w:type="dxa" w:w="1240"/>
            <w:shd w:fill="auto" w:val="clear"/>
            <w:tcMar>
              <w:left w:type="dxa" w:w="10"/>
              <w:right w:type="dxa" w:w="10"/>
            </w:tcMar>
          </w:tcPr>
          <w:p w14:paraId="A4010000">
            <w:pPr>
              <w:ind/>
              <w:jc w:val="center"/>
            </w:pPr>
            <w:r>
              <w:t>6</w:t>
            </w:r>
          </w:p>
        </w:tc>
        <w:tc>
          <w:tcPr>
            <w:tcW w:type="dxa" w:w="1459"/>
            <w:shd w:fill="auto" w:val="clear"/>
            <w:tcMar>
              <w:left w:type="dxa" w:w="10"/>
              <w:right w:type="dxa" w:w="10"/>
            </w:tcMar>
          </w:tcPr>
          <w:p w14:paraId="A5010000">
            <w:pPr>
              <w:ind/>
              <w:jc w:val="center"/>
            </w:pPr>
            <w:r>
              <w:t>7</w:t>
            </w:r>
          </w:p>
        </w:tc>
      </w:tr>
      <w:tr>
        <w:trPr>
          <w:trHeight w:hRule="atLeast" w:val="266"/>
        </w:trPr>
        <w:tc>
          <w:tcPr>
            <w:tcW w:type="dxa" w:w="1711"/>
            <w:tcMar>
              <w:left w:type="dxa" w:w="10"/>
              <w:right w:type="dxa" w:w="10"/>
            </w:tcMar>
          </w:tcPr>
          <w:p w14:paraId="A6010000">
            <w:pPr>
              <w:ind/>
              <w:jc w:val="center"/>
            </w:pPr>
          </w:p>
        </w:tc>
        <w:tc>
          <w:tcPr>
            <w:tcW w:type="dxa" w:w="1985"/>
            <w:shd w:fill="auto" w:val="clear"/>
            <w:tcMar>
              <w:left w:type="dxa" w:w="10"/>
              <w:right w:type="dxa" w:w="10"/>
            </w:tcMar>
          </w:tcPr>
          <w:p w14:paraId="A7010000">
            <w:pPr>
              <w:ind/>
              <w:jc w:val="center"/>
            </w:pPr>
          </w:p>
        </w:tc>
        <w:tc>
          <w:tcPr>
            <w:tcW w:type="dxa" w:w="1984"/>
            <w:shd w:fill="auto" w:val="clear"/>
            <w:tcMar>
              <w:left w:type="dxa" w:w="10"/>
              <w:right w:type="dxa" w:w="10"/>
            </w:tcMar>
          </w:tcPr>
          <w:p w14:paraId="A8010000">
            <w:pPr>
              <w:ind/>
              <w:jc w:val="center"/>
            </w:pPr>
          </w:p>
        </w:tc>
        <w:tc>
          <w:tcPr>
            <w:tcW w:type="dxa" w:w="851"/>
            <w:shd w:fill="auto" w:val="clear"/>
            <w:tcMar>
              <w:left w:type="dxa" w:w="10"/>
              <w:right w:type="dxa" w:w="10"/>
            </w:tcMar>
          </w:tcPr>
          <w:p w14:paraId="A9010000">
            <w:pPr>
              <w:ind/>
              <w:jc w:val="center"/>
            </w:pPr>
          </w:p>
        </w:tc>
        <w:tc>
          <w:tcPr>
            <w:tcW w:type="dxa" w:w="1843"/>
            <w:shd w:fill="auto" w:val="clear"/>
            <w:tcMar>
              <w:left w:type="dxa" w:w="10"/>
              <w:right w:type="dxa" w:w="10"/>
            </w:tcMar>
          </w:tcPr>
          <w:p w14:paraId="AA010000">
            <w:pPr>
              <w:ind/>
              <w:jc w:val="center"/>
            </w:pPr>
          </w:p>
        </w:tc>
        <w:tc>
          <w:tcPr>
            <w:tcW w:type="dxa" w:w="1240"/>
            <w:shd w:fill="auto" w:val="clear"/>
            <w:tcMar>
              <w:left w:type="dxa" w:w="10"/>
              <w:right w:type="dxa" w:w="10"/>
            </w:tcMar>
          </w:tcPr>
          <w:p w14:paraId="AB010000">
            <w:pPr>
              <w:ind/>
              <w:jc w:val="center"/>
            </w:pPr>
          </w:p>
        </w:tc>
        <w:tc>
          <w:tcPr>
            <w:tcW w:type="dxa" w:w="1459"/>
            <w:shd w:fill="auto" w:val="clear"/>
            <w:tcMar>
              <w:left w:type="dxa" w:w="10"/>
              <w:right w:type="dxa" w:w="10"/>
            </w:tcMar>
          </w:tcPr>
          <w:p w14:paraId="AC010000">
            <w:pPr>
              <w:ind/>
              <w:jc w:val="center"/>
            </w:pPr>
          </w:p>
        </w:tc>
      </w:tr>
    </w:tbl>
    <w:p w14:paraId="AD010000">
      <w:pPr>
        <w:ind w:firstLine="720"/>
        <w:jc w:val="both"/>
        <w:rPr>
          <w:sz w:val="28"/>
        </w:rPr>
      </w:pPr>
    </w:p>
    <w:p w14:paraId="AE010000">
      <w:pPr>
        <w:rPr>
          <w:sz w:val="24"/>
        </w:rPr>
      </w:pPr>
    </w:p>
    <w:p w14:paraId="AF010000">
      <w:pPr>
        <w:rPr>
          <w:sz w:val="24"/>
        </w:rPr>
      </w:pPr>
      <w:r>
        <w:rPr>
          <w:sz w:val="24"/>
        </w:rPr>
        <w:t xml:space="preserve">Руководитель                 __________________________ </w:t>
      </w:r>
      <w:r>
        <w:rPr>
          <w:sz w:val="24"/>
        </w:rPr>
        <w:t xml:space="preserve"> </w:t>
      </w:r>
      <w:r>
        <w:rPr>
          <w:sz w:val="24"/>
        </w:rPr>
        <w:t xml:space="preserve">_______________ </w:t>
      </w:r>
      <w:r>
        <w:rPr>
          <w:sz w:val="24"/>
        </w:rPr>
        <w:t xml:space="preserve">   </w:t>
      </w:r>
      <w:r>
        <w:rPr>
          <w:sz w:val="24"/>
        </w:rPr>
        <w:t>____________________</w:t>
      </w:r>
    </w:p>
    <w:p w14:paraId="B0010000">
      <w:pPr>
        <w:rPr>
          <w:sz w:val="24"/>
        </w:rPr>
      </w:pPr>
      <w:r>
        <w:rPr>
          <w:sz w:val="24"/>
        </w:rPr>
        <w:t xml:space="preserve">(уполномоченное лицо)                (должность)                         (подпись)  </w:t>
      </w:r>
      <w:r>
        <w:rPr>
          <w:sz w:val="24"/>
        </w:rPr>
        <w:t xml:space="preserve">  </w:t>
      </w:r>
      <w:r>
        <w:rPr>
          <w:sz w:val="24"/>
        </w:rPr>
        <w:t xml:space="preserve">     (расшифровка подписи)</w:t>
      </w:r>
    </w:p>
    <w:p w14:paraId="B1010000">
      <w:pPr>
        <w:ind w:firstLine="720"/>
        <w:jc w:val="both"/>
        <w:rPr>
          <w:sz w:val="24"/>
        </w:rPr>
      </w:pPr>
    </w:p>
    <w:p w14:paraId="B2010000">
      <w:pPr>
        <w:rPr>
          <w:sz w:val="24"/>
        </w:rPr>
      </w:pPr>
    </w:p>
    <w:p w14:paraId="B3010000">
      <w:pPr>
        <w:ind w:firstLine="0" w:left="-426"/>
        <w:rPr>
          <w:sz w:val="24"/>
        </w:rPr>
      </w:pPr>
      <w:r>
        <w:rPr>
          <w:sz w:val="24"/>
        </w:rPr>
        <w:t xml:space="preserve">Исполнитель    _____________ </w:t>
      </w:r>
      <w:r>
        <w:rPr>
          <w:sz w:val="24"/>
        </w:rPr>
        <w:t xml:space="preserve">        </w:t>
      </w:r>
      <w:r>
        <w:rPr>
          <w:sz w:val="24"/>
        </w:rPr>
        <w:t>_____________</w:t>
      </w:r>
      <w:r>
        <w:rPr>
          <w:sz w:val="24"/>
        </w:rPr>
        <w:t xml:space="preserve">       ____</w:t>
      </w:r>
      <w:r>
        <w:rPr>
          <w:sz w:val="24"/>
        </w:rPr>
        <w:t xml:space="preserve">_______________ </w:t>
      </w:r>
      <w:r>
        <w:rPr>
          <w:sz w:val="24"/>
        </w:rPr>
        <w:t xml:space="preserve">    </w:t>
      </w:r>
      <w:r>
        <w:rPr>
          <w:sz w:val="24"/>
        </w:rPr>
        <w:t>_</w:t>
      </w:r>
      <w:r>
        <w:rPr>
          <w:sz w:val="24"/>
        </w:rPr>
        <w:t>_____</w:t>
      </w:r>
      <w:r>
        <w:rPr>
          <w:sz w:val="24"/>
        </w:rPr>
        <w:t xml:space="preserve">_______________                    </w:t>
      </w:r>
      <w:r>
        <w:rPr>
          <w:sz w:val="24"/>
        </w:rPr>
        <w:t xml:space="preserve">            </w:t>
      </w:r>
    </w:p>
    <w:p w14:paraId="B4010000">
      <w:pPr>
        <w:ind w:firstLine="0" w:left="-426"/>
        <w:rPr>
          <w:sz w:val="24"/>
        </w:rPr>
      </w:pPr>
      <w:r>
        <w:rPr>
          <w:sz w:val="24"/>
        </w:rPr>
        <w:t xml:space="preserve">                            </w:t>
      </w:r>
      <w:r>
        <w:rPr>
          <w:sz w:val="24"/>
        </w:rPr>
        <w:t xml:space="preserve">(должность)       </w:t>
      </w:r>
      <w:r>
        <w:rPr>
          <w:sz w:val="24"/>
        </w:rPr>
        <w:t xml:space="preserve">         (подпись)              (</w:t>
      </w:r>
      <w:r>
        <w:rPr>
          <w:sz w:val="24"/>
        </w:rPr>
        <w:t>фамилия, инициалы)    (телефон с кодом города)</w:t>
      </w:r>
    </w:p>
    <w:p w14:paraId="B5010000">
      <w:pPr>
        <w:ind w:firstLine="720"/>
        <w:jc w:val="both"/>
        <w:rPr>
          <w:sz w:val="24"/>
        </w:rPr>
      </w:pPr>
    </w:p>
    <w:p w14:paraId="B6010000">
      <w:pPr>
        <w:rPr>
          <w:sz w:val="24"/>
        </w:rPr>
      </w:pPr>
      <w:r>
        <w:rPr>
          <w:sz w:val="24"/>
        </w:rPr>
        <w:t>«___»_________________20 __ г.</w:t>
      </w:r>
    </w:p>
    <w:p w14:paraId="B7010000">
      <w:pPr>
        <w:rPr>
          <w:b w:val="1"/>
          <w:sz w:val="24"/>
        </w:rPr>
      </w:pPr>
    </w:p>
    <w:p w14:paraId="B8010000">
      <w:pPr>
        <w:rPr>
          <w:b w:val="1"/>
          <w:sz w:val="24"/>
        </w:rPr>
      </w:pPr>
    </w:p>
    <w:p w14:paraId="B9010000">
      <w:pPr>
        <w:pStyle w:val="Style_3"/>
        <w:ind/>
        <w:jc w:val="right"/>
        <w:rPr>
          <w:b w:val="1"/>
          <w:sz w:val="28"/>
        </w:rPr>
      </w:pPr>
    </w:p>
    <w:p w14:paraId="BA010000">
      <w:r>
        <w:rPr>
          <w:sz w:val="28"/>
        </w:rPr>
        <w:t xml:space="preserve">    </w:t>
      </w:r>
    </w:p>
    <w:sectPr>
      <w:type w:val="continuous"/>
      <w:pgSz w:h="16834" w:w="11909"/>
      <w:pgMar w:bottom="567" w:footer="720" w:gutter="0" w:header="720" w:left="1134" w:right="569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widowControl w:val="0"/>
      <w:ind/>
    </w:pPr>
    <w:rPr>
      <w:rFonts w:ascii="Times New Roman" w:hAnsi="Times New Roman"/>
    </w:rPr>
  </w:style>
  <w:style w:default="1" w:styleId="Style_10_ch" w:type="character">
    <w:name w:val="Normal"/>
    <w:link w:val="Style_10"/>
    <w:rPr>
      <w:rFonts w:ascii="Times New Roman" w:hAnsi="Times New Roman"/>
    </w:rPr>
  </w:style>
  <w:style w:styleId="Style_11" w:type="paragraph">
    <w:name w:val="toc 2"/>
    <w:next w:val="Style_10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12" w:type="paragraph">
    <w:name w:val="toc 4"/>
    <w:next w:val="Style_10"/>
    <w:link w:val="Style_12_ch"/>
    <w:uiPriority w:val="39"/>
    <w:pPr>
      <w:ind w:firstLine="0" w:left="600"/>
    </w:pPr>
  </w:style>
  <w:style w:styleId="Style_12_ch" w:type="character">
    <w:name w:val="toc 4"/>
    <w:link w:val="Style_12"/>
  </w:style>
  <w:style w:styleId="Style_13" w:type="paragraph">
    <w:name w:val="Основной текст2"/>
    <w:link w:val="Style_13_ch"/>
    <w:rPr>
      <w:rFonts w:ascii="Times New Roman" w:hAnsi="Times New Roman"/>
      <w:sz w:val="26"/>
      <w:u w:val="none"/>
    </w:rPr>
  </w:style>
  <w:style w:styleId="Style_13_ch" w:type="character">
    <w:name w:val="Основной текст2"/>
    <w:link w:val="Style_13"/>
    <w:rPr>
      <w:rFonts w:ascii="Times New Roman" w:hAnsi="Times New Roman"/>
      <w:sz w:val="26"/>
      <w:u w:val="none"/>
    </w:rPr>
  </w:style>
  <w:style w:styleId="Style_14" w:type="paragraph">
    <w:name w:val="Balloon Text"/>
    <w:basedOn w:val="Style_10"/>
    <w:link w:val="Style_14_ch"/>
    <w:rPr>
      <w:rFonts w:ascii="Tahoma" w:hAnsi="Tahoma"/>
      <w:sz w:val="16"/>
    </w:rPr>
  </w:style>
  <w:style w:styleId="Style_14_ch" w:type="character">
    <w:name w:val="Balloon Text"/>
    <w:basedOn w:val="Style_10_ch"/>
    <w:link w:val="Style_14"/>
    <w:rPr>
      <w:rFonts w:ascii="Tahoma" w:hAnsi="Tahoma"/>
      <w:sz w:val="16"/>
    </w:rPr>
  </w:style>
  <w:style w:styleId="Style_15" w:type="paragraph">
    <w:name w:val="toc 6"/>
    <w:next w:val="Style_10"/>
    <w:link w:val="Style_15_ch"/>
    <w:uiPriority w:val="39"/>
    <w:pPr>
      <w:ind w:firstLine="0" w:left="1000"/>
    </w:pPr>
  </w:style>
  <w:style w:styleId="Style_15_ch" w:type="character">
    <w:name w:val="toc 6"/>
    <w:link w:val="Style_15"/>
  </w:style>
  <w:style w:styleId="Style_16" w:type="paragraph">
    <w:name w:val="toc 7"/>
    <w:next w:val="Style_10"/>
    <w:link w:val="Style_16_ch"/>
    <w:uiPriority w:val="39"/>
    <w:pPr>
      <w:ind w:firstLine="0" w:left="1200"/>
    </w:pPr>
  </w:style>
  <w:style w:styleId="Style_16_ch" w:type="character">
    <w:name w:val="toc 7"/>
    <w:link w:val="Style_16"/>
  </w:style>
  <w:style w:styleId="Style_17" w:type="paragraph">
    <w:name w:val="heading 3"/>
    <w:next w:val="Style_10"/>
    <w:link w:val="Style_1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7_ch" w:type="character">
    <w:name w:val="heading 3"/>
    <w:link w:val="Style_17"/>
    <w:rPr>
      <w:rFonts w:ascii="XO Thames" w:hAnsi="XO Thames"/>
      <w:b w:val="1"/>
      <w:i w:val="1"/>
      <w:color w:val="000000"/>
    </w:rPr>
  </w:style>
  <w:style w:styleId="Style_18" w:type="paragraph">
    <w:name w:val="Цветовое выделение"/>
    <w:link w:val="Style_18_ch"/>
    <w:rPr>
      <w:b w:val="1"/>
      <w:color w:val="26282F"/>
    </w:rPr>
  </w:style>
  <w:style w:styleId="Style_18_ch" w:type="character">
    <w:name w:val="Цветовое выделение"/>
    <w:link w:val="Style_18"/>
    <w:rPr>
      <w:b w:val="1"/>
      <w:color w:val="26282F"/>
    </w:rPr>
  </w:style>
  <w:style w:styleId="Style_19" w:type="paragraph">
    <w:name w:val="Прижатый влево"/>
    <w:basedOn w:val="Style_10"/>
    <w:next w:val="Style_10"/>
    <w:link w:val="Style_19_ch"/>
    <w:pPr>
      <w:widowControl w:val="1"/>
      <w:ind/>
    </w:pPr>
    <w:rPr>
      <w:rFonts w:ascii="Arial" w:hAnsi="Arial"/>
      <w:sz w:val="24"/>
    </w:rPr>
  </w:style>
  <w:style w:styleId="Style_19_ch" w:type="character">
    <w:name w:val="Прижатый влево"/>
    <w:basedOn w:val="Style_10_ch"/>
    <w:link w:val="Style_19"/>
    <w:rPr>
      <w:rFonts w:ascii="Arial" w:hAnsi="Arial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footer"/>
    <w:basedOn w:val="Style_10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10_ch"/>
    <w:link w:val="Style_21"/>
  </w:style>
  <w:style w:styleId="Style_22" w:type="paragraph">
    <w:name w:val="toc 3"/>
    <w:next w:val="Style_10"/>
    <w:link w:val="Style_22_ch"/>
    <w:uiPriority w:val="39"/>
    <w:pPr>
      <w:ind w:firstLine="0" w:left="400"/>
    </w:pPr>
  </w:style>
  <w:style w:styleId="Style_22_ch" w:type="character">
    <w:name w:val="toc 3"/>
    <w:link w:val="Style_22"/>
  </w:style>
  <w:style w:styleId="Style_23" w:type="paragraph">
    <w:name w:val="Нормальный (таблица)"/>
    <w:basedOn w:val="Style_10"/>
    <w:next w:val="Style_10"/>
    <w:link w:val="Style_23_ch"/>
    <w:pPr>
      <w:ind/>
      <w:jc w:val="both"/>
    </w:pPr>
    <w:rPr>
      <w:rFonts w:ascii="Arial" w:hAnsi="Arial"/>
      <w:sz w:val="24"/>
    </w:rPr>
  </w:style>
  <w:style w:styleId="Style_23_ch" w:type="character">
    <w:name w:val="Нормальный (таблица)"/>
    <w:basedOn w:val="Style_10_ch"/>
    <w:link w:val="Style_23"/>
    <w:rPr>
      <w:rFonts w:ascii="Arial" w:hAnsi="Arial"/>
      <w:sz w:val="24"/>
    </w:rPr>
  </w:style>
  <w:style w:styleId="Style_3" w:type="paragraph">
    <w:name w:val="No Spacing"/>
    <w:link w:val="Style_3_ch"/>
    <w:pPr>
      <w:widowControl w:val="0"/>
      <w:ind/>
    </w:pPr>
    <w:rPr>
      <w:rFonts w:ascii="Times New Roman" w:hAnsi="Times New Roman"/>
    </w:rPr>
  </w:style>
  <w:style w:styleId="Style_3_ch" w:type="character">
    <w:name w:val="No Spacing"/>
    <w:link w:val="Style_3"/>
    <w:rPr>
      <w:rFonts w:ascii="Times New Roman" w:hAnsi="Times New Roman"/>
    </w:rPr>
  </w:style>
  <w:style w:styleId="Style_24" w:type="paragraph">
    <w:name w:val="heading 5"/>
    <w:next w:val="Style_10"/>
    <w:link w:val="Style_2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4_ch" w:type="character">
    <w:name w:val="heading 5"/>
    <w:link w:val="Style_24"/>
    <w:rPr>
      <w:rFonts w:ascii="XO Thames" w:hAnsi="XO Thames"/>
      <w:b w:val="1"/>
      <w:color w:val="000000"/>
      <w:sz w:val="22"/>
    </w:rPr>
  </w:style>
  <w:style w:styleId="Style_5" w:type="paragraph">
    <w:name w:val="List Paragraph"/>
    <w:basedOn w:val="Style_10"/>
    <w:link w:val="Style_5_ch"/>
    <w:pPr>
      <w:ind w:firstLine="0" w:left="720"/>
      <w:contextualSpacing w:val="1"/>
    </w:pPr>
  </w:style>
  <w:style w:styleId="Style_5_ch" w:type="character">
    <w:name w:val="List Paragraph"/>
    <w:basedOn w:val="Style_10_ch"/>
    <w:link w:val="Style_5"/>
  </w:style>
  <w:style w:styleId="Style_1" w:type="paragraph">
    <w:name w:val="heading 1"/>
    <w:basedOn w:val="Style_10"/>
    <w:next w:val="Style_10"/>
    <w:link w:val="Style_1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1_ch" w:type="character">
    <w:name w:val="heading 1"/>
    <w:basedOn w:val="Style_10_ch"/>
    <w:link w:val="Style_1"/>
    <w:rPr>
      <w:rFonts w:ascii="Arial" w:hAnsi="Arial"/>
      <w:b w:val="1"/>
      <w:color w:val="26282F"/>
      <w:sz w:val="24"/>
    </w:rPr>
  </w:style>
  <w:style w:styleId="Style_9" w:type="paragraph">
    <w:name w:val="Основной текст (6)"/>
    <w:basedOn w:val="Style_10"/>
    <w:link w:val="Style_9_ch"/>
    <w:pPr>
      <w:spacing w:after="360" w:line="0" w:lineRule="atLeast"/>
      <w:ind/>
      <w:jc w:val="right"/>
    </w:pPr>
    <w:rPr>
      <w:sz w:val="16"/>
    </w:rPr>
  </w:style>
  <w:style w:styleId="Style_9_ch" w:type="character">
    <w:name w:val="Основной текст (6)"/>
    <w:basedOn w:val="Style_10_ch"/>
    <w:link w:val="Style_9"/>
    <w:rPr>
      <w:sz w:val="16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/>
      <w:jc w:val="left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10"/>
    <w:link w:val="Style_27_ch"/>
    <w:uiPriority w:val="39"/>
    <w:pPr>
      <w:ind w:firstLine="0" w:left="0"/>
    </w:pPr>
    <w:rPr>
      <w:rFonts w:ascii="XO Thames" w:hAnsi="XO Thames"/>
      <w:b w:val="1"/>
    </w:rPr>
  </w:style>
  <w:style w:styleId="Style_27_ch" w:type="character">
    <w:name w:val="toc 1"/>
    <w:link w:val="Style_27"/>
    <w:rPr>
      <w:rFonts w:ascii="XO Thames" w:hAnsi="XO Thames"/>
      <w:b w:val="1"/>
    </w:rPr>
  </w:style>
  <w:style w:styleId="Style_28" w:type="paragraph">
    <w:name w:val="Header and Footer"/>
    <w:link w:val="Style_28_ch"/>
    <w:pPr>
      <w:spacing w:line="360" w:lineRule="auto"/>
      <w:ind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10"/>
    <w:link w:val="Style_29_ch"/>
    <w:uiPriority w:val="39"/>
    <w:pPr>
      <w:ind w:firstLine="0" w:left="1600"/>
    </w:pPr>
  </w:style>
  <w:style w:styleId="Style_29_ch" w:type="character">
    <w:name w:val="toc 9"/>
    <w:link w:val="Style_29"/>
  </w:style>
  <w:style w:styleId="Style_30" w:type="paragraph">
    <w:name w:val="toc 8"/>
    <w:next w:val="Style_10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Body Text 2"/>
    <w:basedOn w:val="Style_10"/>
    <w:link w:val="Style_31_ch"/>
    <w:pPr>
      <w:widowControl w:val="1"/>
      <w:ind/>
      <w:jc w:val="both"/>
    </w:pPr>
    <w:rPr>
      <w:sz w:val="24"/>
    </w:rPr>
  </w:style>
  <w:style w:styleId="Style_31_ch" w:type="character">
    <w:name w:val="Body Text 2"/>
    <w:basedOn w:val="Style_10_ch"/>
    <w:link w:val="Style_31"/>
    <w:rPr>
      <w:sz w:val="24"/>
    </w:rPr>
  </w:style>
  <w:style w:styleId="Style_32" w:type="paragraph">
    <w:name w:val="toc 5"/>
    <w:next w:val="Style_10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6" w:type="paragraph">
    <w:name w:val="ConsPlusNormal"/>
    <w:link w:val="Style_6_ch"/>
    <w:pPr>
      <w:widowControl w:val="0"/>
      <w:ind/>
    </w:pPr>
    <w:rPr>
      <w:sz w:val="22"/>
    </w:rPr>
  </w:style>
  <w:style w:styleId="Style_6_ch" w:type="character">
    <w:name w:val="ConsPlusNormal"/>
    <w:link w:val="Style_6"/>
    <w:rPr>
      <w:sz w:val="22"/>
    </w:rPr>
  </w:style>
  <w:style w:styleId="Style_33" w:type="paragraph">
    <w:name w:val="Subtitle"/>
    <w:next w:val="Style_10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4" w:type="paragraph">
    <w:name w:val="ConsPlusNonformat"/>
    <w:link w:val="Style_4_ch"/>
    <w:pPr>
      <w:widowControl w:val="0"/>
      <w:ind/>
    </w:pPr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34" w:type="paragraph">
    <w:name w:val="toc 10"/>
    <w:next w:val="Style_10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2" w:type="paragraph">
    <w:name w:val="Title"/>
    <w:basedOn w:val="Style_10"/>
    <w:link w:val="Style_2_ch"/>
    <w:uiPriority w:val="10"/>
    <w:qFormat/>
    <w:pPr>
      <w:widowControl w:val="1"/>
      <w:ind/>
      <w:jc w:val="center"/>
    </w:pPr>
    <w:rPr>
      <w:b w:val="1"/>
      <w:sz w:val="28"/>
    </w:rPr>
  </w:style>
  <w:style w:styleId="Style_2_ch" w:type="character">
    <w:name w:val="Title"/>
    <w:basedOn w:val="Style_10_ch"/>
    <w:link w:val="Style_2"/>
    <w:rPr>
      <w:b w:val="1"/>
      <w:sz w:val="28"/>
    </w:rPr>
  </w:style>
  <w:style w:styleId="Style_35" w:type="paragraph">
    <w:name w:val="heading 4"/>
    <w:next w:val="Style_10"/>
    <w:link w:val="Style_3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_ch" w:type="character">
    <w:name w:val="heading 4"/>
    <w:link w:val="Style_35"/>
    <w:rPr>
      <w:rFonts w:ascii="XO Thames" w:hAnsi="XO Thames"/>
      <w:b w:val="1"/>
      <w:color w:val="595959"/>
      <w:sz w:val="26"/>
    </w:rPr>
  </w:style>
  <w:style w:styleId="Style_7" w:type="paragraph">
    <w:name w:val="Основной текст (2)"/>
    <w:basedOn w:val="Style_10"/>
    <w:link w:val="Style_7_ch"/>
    <w:pPr>
      <w:spacing w:before="540" w:line="307" w:lineRule="exact"/>
      <w:ind/>
      <w:jc w:val="both"/>
    </w:pPr>
    <w:rPr>
      <w:sz w:val="26"/>
    </w:rPr>
  </w:style>
  <w:style w:styleId="Style_7_ch" w:type="character">
    <w:name w:val="Основной текст (2)"/>
    <w:basedOn w:val="Style_10_ch"/>
    <w:link w:val="Style_7"/>
    <w:rPr>
      <w:sz w:val="26"/>
    </w:rPr>
  </w:style>
  <w:style w:styleId="Style_36" w:type="paragraph">
    <w:name w:val="heading 2"/>
    <w:next w:val="Style_10"/>
    <w:link w:val="Style_3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_ch" w:type="character">
    <w:name w:val="heading 2"/>
    <w:link w:val="Style_36"/>
    <w:rPr>
      <w:rFonts w:ascii="XO Thames" w:hAnsi="XO Thames"/>
      <w:b w:val="1"/>
      <w:color w:val="00A0FF"/>
      <w:sz w:val="26"/>
    </w:rPr>
  </w:style>
  <w:style w:styleId="Style_37" w:type="paragraph">
    <w:name w:val="header"/>
    <w:basedOn w:val="Style_10"/>
    <w:link w:val="Style_37_ch"/>
    <w:pPr>
      <w:tabs>
        <w:tab w:leader="none" w:pos="4677" w:val="center"/>
        <w:tab w:leader="none" w:pos="9355" w:val="right"/>
      </w:tabs>
      <w:ind/>
    </w:pPr>
  </w:style>
  <w:style w:styleId="Style_37_ch" w:type="character">
    <w:name w:val="header"/>
    <w:basedOn w:val="Style_10_ch"/>
    <w:link w:val="Style_37"/>
  </w:style>
  <w:style w:styleId="Style_38" w:type="table">
    <w:name w:val="Table Grid"/>
    <w:basedOn w:val="Style_8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Сетка таблицы27"/>
    <w:basedOn w:val="Style_8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2023-10-24T05:58:50Z</dcterms:modified>
</cp:coreProperties>
</file>