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rPr>
          <w:sz w:val="15"/>
        </w:rPr>
        <w:t xml:space="preserve"> </w:t>
      </w:r>
    </w:p>
    <w:p w14:paraId="02000000">
      <w:pPr>
        <w:pStyle w:val="Style_1"/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21-54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30.01. 2023 </w:t>
      </w:r>
    </w:p>
    <w:p w14:paraId="09000000">
      <w:pPr>
        <w:pStyle w:val="Style_1"/>
      </w:pPr>
    </w:p>
    <w:p w14:paraId="0A000000">
      <w:pPr>
        <w:pStyle w:val="Style_1"/>
      </w:pPr>
    </w:p>
    <w:p w14:paraId="0B000000">
      <w:pPr>
        <w:pStyle w:val="Style_1"/>
      </w:pPr>
    </w:p>
    <w:p w14:paraId="0C000000">
      <w:pPr>
        <w:pStyle w:val="Style_1"/>
      </w:pPr>
    </w:p>
    <w:p w14:paraId="0D000000">
      <w:pPr>
        <w:pStyle w:val="Style_2"/>
        <w:ind w:right="2208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 передаче полномочий </w:t>
      </w:r>
      <w:r>
        <w:rPr>
          <w:rFonts w:ascii="Cambria" w:hAnsi="Cambria"/>
          <w:color w:val="000000"/>
        </w:rPr>
        <w:t>контрольно-счетного</w:t>
      </w:r>
    </w:p>
    <w:p w14:paraId="0E000000">
      <w:pPr>
        <w:pStyle w:val="Style_2"/>
        <w:keepLines w:val="0"/>
        <w:numPr>
          <w:ilvl w:val="1"/>
          <w:numId w:val="1"/>
        </w:numPr>
        <w:spacing w:before="0"/>
        <w:ind w:right="2208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органа Дергачевского муниципального образования </w:t>
      </w:r>
      <w:r>
        <w:rPr>
          <w:rFonts w:ascii="Cambria" w:hAnsi="Cambria"/>
          <w:color w:val="000000"/>
        </w:rPr>
        <w:t xml:space="preserve">   </w:t>
      </w:r>
      <w:r>
        <w:rPr>
          <w:color w:themeColor="text1" w:val="000000"/>
        </w:rPr>
        <w:t xml:space="preserve"> Дергачевского муниципального района </w:t>
      </w:r>
      <w:r>
        <w:rPr>
          <w:rFonts w:ascii="Cambria" w:hAnsi="Cambria"/>
          <w:color w:val="000000"/>
        </w:rPr>
        <w:t xml:space="preserve"> </w:t>
      </w:r>
      <w:r>
        <w:rPr>
          <w:color w:themeColor="text1" w:val="000000"/>
        </w:rPr>
        <w:t>контрольно-счетному органу Дергачевского</w:t>
      </w:r>
      <w:r>
        <w:rPr>
          <w:rFonts w:ascii="Cambria" w:hAnsi="Cambria"/>
          <w:color w:val="000000"/>
        </w:rPr>
        <w:t xml:space="preserve"> муниципального района и </w:t>
      </w:r>
      <w:r>
        <w:rPr>
          <w:rFonts w:ascii="Cambria" w:hAnsi="Cambria"/>
          <w:color w:val="000000"/>
        </w:rPr>
        <w:t>заключении</w:t>
      </w:r>
      <w:r>
        <w:rPr>
          <w:rFonts w:ascii="Cambria" w:hAnsi="Cambria"/>
          <w:color w:val="000000"/>
        </w:rPr>
        <w:t xml:space="preserve"> </w:t>
      </w:r>
      <w:r>
        <w:rPr>
          <w:color w:themeColor="text1" w:val="000000"/>
        </w:rPr>
        <w:t>С</w:t>
      </w:r>
      <w:r>
        <w:rPr>
          <w:rFonts w:ascii="Cambria" w:hAnsi="Cambria"/>
          <w:color w:val="000000"/>
        </w:rPr>
        <w:t>оглашения</w:t>
      </w:r>
    </w:p>
    <w:p w14:paraId="0F000000">
      <w:pPr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   В соответствии с Федеральным законом от 7 февраля 2011 года №6-ФЗ «Об общих принципах организации и деятельности контрол</w:t>
      </w:r>
      <w:r>
        <w:rPr>
          <w:sz w:val="28"/>
        </w:rPr>
        <w:t>ьно-счетных органов субъектов Российской Федерации и муниципальных образований», на основании Устава  Дергачевского муниципального образования</w:t>
      </w:r>
      <w:r>
        <w:rPr>
          <w:sz w:val="28"/>
        </w:rPr>
        <w:t xml:space="preserve"> ,</w:t>
      </w:r>
      <w:r>
        <w:rPr>
          <w:sz w:val="28"/>
        </w:rPr>
        <w:t xml:space="preserve"> в целях, наиболее эффективного осуществления внешнего муниципального финансового контроля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решил:</w:t>
      </w:r>
    </w:p>
    <w:p w14:paraId="12000000">
      <w:pPr>
        <w:pStyle w:val="Style_3"/>
        <w:ind w:firstLine="851"/>
        <w:jc w:val="both"/>
      </w:pPr>
      <w:r>
        <w:t>1.Переда</w:t>
      </w:r>
      <w:r>
        <w:t>ть с 1 января 2023 года полномочия контрольно-счетного органа Дергачевского муниципального образования  контрольно-счетному органу Дергачевского муниципального района: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1) организация и осуществление контроля за законностью и эффективностью использования ср</w:t>
      </w:r>
      <w:r>
        <w:rPr>
          <w:sz w:val="28"/>
        </w:rPr>
        <w:t>едств местного бюджета, а также иных сре</w:t>
      </w:r>
      <w:r>
        <w:rPr>
          <w:sz w:val="28"/>
        </w:rPr>
        <w:t>дств в сл</w:t>
      </w:r>
      <w:r>
        <w:rPr>
          <w:sz w:val="28"/>
        </w:rPr>
        <w:t>учаях, предусмотренных законодательством Российской Федерации;</w:t>
      </w:r>
    </w:p>
    <w:p w14:paraId="14000000">
      <w:pPr>
        <w:ind w:firstLine="709"/>
        <w:jc w:val="both"/>
        <w:rPr>
          <w:sz w:val="28"/>
        </w:rPr>
      </w:pPr>
      <w:bookmarkStart w:id="1" w:name="000059"/>
      <w:bookmarkEnd w:id="1"/>
      <w:r>
        <w:rPr>
          <w:sz w:val="28"/>
        </w:rPr>
        <w:t>2) экспертиза проектов местного бюджета, проверка и анализ обоснованности его показателей;</w:t>
      </w:r>
    </w:p>
    <w:p w14:paraId="15000000">
      <w:pPr>
        <w:ind w:firstLine="709"/>
        <w:jc w:val="both"/>
        <w:rPr>
          <w:sz w:val="28"/>
        </w:rPr>
      </w:pPr>
      <w:bookmarkStart w:id="2" w:name="000060"/>
      <w:bookmarkEnd w:id="2"/>
      <w:r>
        <w:rPr>
          <w:sz w:val="28"/>
        </w:rPr>
        <w:t>3) внешняя проверка годового отчета об исполнении мес</w:t>
      </w:r>
      <w:r>
        <w:rPr>
          <w:sz w:val="28"/>
        </w:rPr>
        <w:t>тного бюджета;</w:t>
      </w:r>
    </w:p>
    <w:p w14:paraId="16000000">
      <w:pPr>
        <w:ind w:firstLine="709"/>
        <w:jc w:val="both"/>
        <w:rPr>
          <w:sz w:val="28"/>
        </w:rPr>
      </w:pPr>
      <w:bookmarkStart w:id="3" w:name="000061"/>
      <w:bookmarkEnd w:id="3"/>
      <w:r>
        <w:rPr>
          <w:sz w:val="28"/>
        </w:rPr>
        <w:t>4) проведение аудита в сфере закупок товаров, работ и услуг в соответствии с Федеральным</w:t>
      </w:r>
      <w:r>
        <w:rPr>
          <w:rStyle w:val="Style_4_ch"/>
          <w:color w:themeColor="text1" w:val="000000"/>
          <w:sz w:val="28"/>
        </w:rPr>
        <w:t> </w:t>
      </w:r>
      <w:r>
        <w:rPr>
          <w:rStyle w:val="Style_5_ch"/>
          <w:color w:themeColor="text1" w:val="000000"/>
          <w:sz w:val="28"/>
        </w:rPr>
        <w:fldChar w:fldCharType="begin"/>
      </w:r>
      <w:r>
        <w:rPr>
          <w:rStyle w:val="Style_5_ch"/>
          <w:color w:themeColor="text1" w:val="000000"/>
          <w:sz w:val="28"/>
        </w:rPr>
        <w:instrText>HYPERLINK "https://legalacts.ru/doc/44_FZ-o-kontraktnoj-sisteme/"</w:instrText>
      </w:r>
      <w:r>
        <w:rPr>
          <w:rStyle w:val="Style_5_ch"/>
          <w:color w:themeColor="text1" w:val="000000"/>
          <w:sz w:val="28"/>
        </w:rPr>
        <w:fldChar w:fldCharType="separate"/>
      </w:r>
      <w:r>
        <w:rPr>
          <w:rStyle w:val="Style_5_ch"/>
          <w:color w:themeColor="text1" w:val="000000"/>
          <w:sz w:val="28"/>
        </w:rPr>
        <w:t>законом</w:t>
      </w:r>
      <w:r>
        <w:rPr>
          <w:rStyle w:val="Style_5_ch"/>
          <w:color w:themeColor="text1" w:val="000000"/>
          <w:sz w:val="28"/>
        </w:rPr>
        <w:fldChar w:fldCharType="end"/>
      </w:r>
      <w:r>
        <w:rPr>
          <w:rStyle w:val="Style_4_ch"/>
          <w:color w:themeColor="text1" w:val="000000"/>
          <w:sz w:val="28"/>
        </w:rPr>
        <w:t> </w:t>
      </w:r>
      <w:r>
        <w:rPr>
          <w:sz w:val="28"/>
        </w:rPr>
        <w:t>от 5 апреля 2013 года N 44-ФЗ "О контрактной системе в сфере закупок товаров</w:t>
      </w:r>
      <w:r>
        <w:rPr>
          <w:sz w:val="28"/>
        </w:rPr>
        <w:t>, работ, услуг для обеспечения государственных и муниципальных нужд";</w:t>
      </w:r>
    </w:p>
    <w:p w14:paraId="17000000">
      <w:pPr>
        <w:ind w:firstLine="709"/>
        <w:jc w:val="both"/>
        <w:rPr>
          <w:sz w:val="28"/>
        </w:rPr>
      </w:pPr>
      <w:bookmarkStart w:id="4" w:name="000062"/>
      <w:bookmarkEnd w:id="4"/>
      <w:r>
        <w:rPr>
          <w:sz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</w:t>
      </w:r>
      <w:r>
        <w:rPr>
          <w:sz w:val="28"/>
        </w:rPr>
        <w:t>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8000000">
      <w:pPr>
        <w:ind w:firstLine="709"/>
        <w:jc w:val="both"/>
        <w:rPr>
          <w:sz w:val="28"/>
        </w:rPr>
      </w:pPr>
      <w:bookmarkStart w:id="5" w:name="000063"/>
      <w:bookmarkEnd w:id="5"/>
      <w:r>
        <w:rPr>
          <w:sz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</w:t>
      </w:r>
      <w:r>
        <w:rPr>
          <w:sz w:val="28"/>
        </w:rPr>
        <w:t>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19000000">
      <w:pPr>
        <w:ind w:firstLine="709"/>
        <w:jc w:val="both"/>
        <w:rPr>
          <w:sz w:val="28"/>
        </w:rPr>
      </w:pPr>
      <w:bookmarkStart w:id="6" w:name="000064"/>
      <w:bookmarkEnd w:id="6"/>
      <w:r>
        <w:rPr>
          <w:sz w:val="28"/>
        </w:rPr>
        <w:t>7) экспертиза проектов муниципальных правовых актов в части, касающейся ра</w:t>
      </w:r>
      <w:r>
        <w:rPr>
          <w:sz w:val="28"/>
        </w:rPr>
        <w:t>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A000000">
      <w:pPr>
        <w:ind w:firstLine="709"/>
        <w:jc w:val="both"/>
        <w:rPr>
          <w:sz w:val="28"/>
        </w:rPr>
      </w:pPr>
      <w:bookmarkStart w:id="7" w:name="000065"/>
      <w:bookmarkEnd w:id="7"/>
      <w:r>
        <w:rPr>
          <w:sz w:val="28"/>
        </w:rPr>
        <w:t>8) анализ и мониторинг бюджетного процесса</w:t>
      </w:r>
      <w:r>
        <w:rPr>
          <w:sz w:val="28"/>
        </w:rPr>
        <w:t xml:space="preserve">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B000000">
      <w:pPr>
        <w:ind w:firstLine="709"/>
        <w:jc w:val="both"/>
        <w:rPr>
          <w:sz w:val="28"/>
        </w:rPr>
      </w:pPr>
      <w:bookmarkStart w:id="8" w:name="000066"/>
      <w:bookmarkEnd w:id="8"/>
      <w:r>
        <w:rPr>
          <w:sz w:val="28"/>
        </w:rPr>
        <w:t>9) проведение оперативного анализа исполнения и контроля за орга</w:t>
      </w:r>
      <w:r>
        <w:rPr>
          <w:sz w:val="28"/>
        </w:rPr>
        <w:t xml:space="preserve">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</w:t>
      </w:r>
      <w:r>
        <w:rPr>
          <w:sz w:val="28"/>
        </w:rPr>
        <w:t>образования и главе муниципального образования;</w:t>
      </w:r>
    </w:p>
    <w:p w14:paraId="1C000000">
      <w:pPr>
        <w:ind w:firstLine="709"/>
        <w:jc w:val="both"/>
        <w:rPr>
          <w:sz w:val="28"/>
        </w:rPr>
      </w:pPr>
      <w:bookmarkStart w:id="9" w:name="000067"/>
      <w:bookmarkEnd w:id="9"/>
      <w:r>
        <w:rPr>
          <w:sz w:val="28"/>
        </w:rPr>
        <w:t>10) осуществление контроля за состоянием муниципального внутреннего и внешнего долга;</w:t>
      </w:r>
    </w:p>
    <w:p w14:paraId="1D000000">
      <w:pPr>
        <w:ind w:firstLine="709"/>
        <w:jc w:val="both"/>
        <w:rPr>
          <w:sz w:val="28"/>
        </w:rPr>
      </w:pPr>
      <w:bookmarkStart w:id="10" w:name="000068"/>
      <w:bookmarkEnd w:id="10"/>
      <w:r>
        <w:rPr>
          <w:sz w:val="28"/>
        </w:rPr>
        <w:t>11) оценка реализуемости, рисков и результатов достижения целей социально-экономического развития муниципального образован</w:t>
      </w:r>
      <w:r>
        <w:rPr>
          <w:sz w:val="28"/>
        </w:rPr>
        <w:t>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E000000">
      <w:pPr>
        <w:ind w:firstLine="709"/>
        <w:jc w:val="both"/>
        <w:rPr>
          <w:sz w:val="28"/>
        </w:rPr>
      </w:pPr>
      <w:bookmarkStart w:id="11" w:name="000069"/>
      <w:bookmarkEnd w:id="11"/>
      <w:r>
        <w:rPr>
          <w:sz w:val="28"/>
        </w:rPr>
        <w:t>12) участие в пределах полномочий в мероприятиях, направленных на противодействие коррупц</w:t>
      </w:r>
      <w:r>
        <w:rPr>
          <w:sz w:val="28"/>
        </w:rPr>
        <w:t>ии;</w:t>
      </w:r>
    </w:p>
    <w:p w14:paraId="1F000000">
      <w:pPr>
        <w:ind w:firstLine="709"/>
        <w:jc w:val="both"/>
        <w:rPr>
          <w:sz w:val="28"/>
        </w:rPr>
      </w:pPr>
      <w:bookmarkStart w:id="12" w:name="000070"/>
      <w:bookmarkEnd w:id="12"/>
      <w:r>
        <w:rPr>
          <w:sz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20000000">
      <w:pPr>
        <w:pStyle w:val="Style_6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2. Перед</w:t>
      </w:r>
      <w:r>
        <w:rPr>
          <w:sz w:val="28"/>
        </w:rPr>
        <w:t>ать контрольно-счетному органу Дергачевского муниципального района финансовые средства в виде межбюджетного трансферта из бюджета Дергачевского  муниципального образования, на осуществление полномочий указанных в п.1 в размере 25,0 тыс</w:t>
      </w:r>
      <w:r>
        <w:rPr>
          <w:sz w:val="28"/>
        </w:rPr>
        <w:t>.р</w:t>
      </w:r>
      <w:r>
        <w:rPr>
          <w:sz w:val="28"/>
        </w:rPr>
        <w:t>уб.</w:t>
      </w:r>
    </w:p>
    <w:p w14:paraId="21000000">
      <w:pPr>
        <w:pStyle w:val="Style_3"/>
        <w:ind w:firstLine="851"/>
        <w:jc w:val="both"/>
      </w:pPr>
      <w:r>
        <w:t>3.Заключить Сог</w:t>
      </w:r>
      <w:r>
        <w:t xml:space="preserve">лашение о передаче  полномочий контрольно-счетного органа  Дергачевского муниципального образования контрольно-счетному органу Дергачевского муниципального района. </w:t>
      </w:r>
    </w:p>
    <w:p w14:paraId="22000000">
      <w:pPr>
        <w:pStyle w:val="Style_3"/>
        <w:ind w:firstLine="851"/>
        <w:jc w:val="both"/>
      </w:pPr>
      <w:r>
        <w:t>4.Подписание Соглашения поручить И.О. главы Дергачевского муниципального образования Полещу</w:t>
      </w:r>
      <w:r>
        <w:t xml:space="preserve">к Ф.М.                                                                                 </w:t>
      </w:r>
    </w:p>
    <w:p w14:paraId="23000000">
      <w:pPr>
        <w:pStyle w:val="Style_3"/>
        <w:ind w:firstLine="851"/>
        <w:jc w:val="both"/>
      </w:pPr>
      <w:r>
        <w:t xml:space="preserve">5.Настоящее решение обнародовать </w:t>
      </w:r>
      <w:bookmarkStart w:id="13" w:name="_GoBack"/>
      <w:bookmarkEnd w:id="13"/>
      <w:r>
        <w:t xml:space="preserve"> на официальном сайте администрации Дергачевского муниципального района. </w:t>
      </w:r>
    </w:p>
    <w:p w14:paraId="24000000"/>
    <w:p w14:paraId="25000000">
      <w:pPr>
        <w:rPr>
          <w:sz w:val="28"/>
        </w:rPr>
      </w:pPr>
      <w:r>
        <w:rPr>
          <w:sz w:val="28"/>
        </w:rPr>
        <w:t xml:space="preserve"> И.О. главы Дергачевского </w:t>
      </w:r>
    </w:p>
    <w:p w14:paraId="26000000">
      <w:pPr>
        <w:rPr>
          <w:sz w:val="28"/>
        </w:rPr>
      </w:pPr>
      <w:r>
        <w:rPr>
          <w:sz w:val="28"/>
        </w:rPr>
        <w:t>муниципального образования</w:t>
      </w:r>
      <w:r>
        <w:rPr>
          <w:b w:val="1"/>
          <w:sz w:val="28"/>
        </w:rPr>
        <w:t xml:space="preserve">                                     </w:t>
      </w:r>
      <w:r>
        <w:rPr>
          <w:sz w:val="28"/>
        </w:rPr>
        <w:t xml:space="preserve">  Полещук Ф.М. </w:t>
      </w:r>
      <w:r>
        <w:rPr>
          <w:b w:val="1"/>
          <w:sz w:val="28"/>
        </w:rPr>
        <w:t xml:space="preserve">      </w:t>
      </w: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  <w:r>
        <w:rPr>
          <w:b w:val="1"/>
          <w:sz w:val="28"/>
        </w:rPr>
        <w:t xml:space="preserve">        </w:t>
      </w:r>
    </w:p>
    <w:p w14:paraId="2E000000">
      <w:pPr>
        <w:pStyle w:val="Style_7"/>
        <w:rPr>
          <w:b w:val="1"/>
          <w:sz w:val="28"/>
        </w:rPr>
      </w:pPr>
    </w:p>
    <w:p w14:paraId="2F000000">
      <w:pPr>
        <w:pStyle w:val="Style_7"/>
      </w:pPr>
    </w:p>
    <w:p w14:paraId="30000000">
      <w:pPr>
        <w:pStyle w:val="Style_7"/>
      </w:pPr>
    </w:p>
    <w:p w14:paraId="31000000">
      <w:pPr>
        <w:pStyle w:val="Style_7"/>
        <w:rPr>
          <w:rFonts w:ascii="Tempus Sans ITC" w:hAnsi="Tempus Sans ITC"/>
        </w:rPr>
      </w:pPr>
    </w:p>
    <w:p w14:paraId="32000000">
      <w:pPr>
        <w:pStyle w:val="Style_7"/>
      </w:pPr>
    </w:p>
    <w:p w14:paraId="33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СОГЛАШЕНИЕ</w:t>
      </w: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передаче полномочий контрольно-счетного органа Дергачевского муниципального образования контрольно </w:t>
      </w:r>
      <w:r>
        <w:rPr>
          <w:b w:val="1"/>
          <w:sz w:val="28"/>
        </w:rPr>
        <w:t>–с</w:t>
      </w:r>
      <w:r>
        <w:rPr>
          <w:b w:val="1"/>
          <w:sz w:val="28"/>
        </w:rPr>
        <w:t xml:space="preserve">четному органу Дергачевского муниципального района Саратовской области </w:t>
      </w:r>
    </w:p>
    <w:p w14:paraId="35000000">
      <w:pPr>
        <w:rPr>
          <w:sz w:val="28"/>
          <w:vertAlign w:val="superscript"/>
        </w:rPr>
      </w:pPr>
      <w:r>
        <w:rPr>
          <w:sz w:val="28"/>
        </w:rPr>
        <w:t>№1                                                                    « 31 »  января 2023 г</w:t>
      </w:r>
      <w:r>
        <w:rPr>
          <w:sz w:val="22"/>
        </w:rPr>
        <w:t xml:space="preserve">.                </w:t>
      </w:r>
      <w:r>
        <w:rPr>
          <w:i w:val="1"/>
          <w:sz w:val="28"/>
          <w:vertAlign w:val="superscript"/>
        </w:rPr>
        <w:t xml:space="preserve">                                                                            </w:t>
      </w:r>
      <w:r>
        <w:rPr>
          <w:i w:val="1"/>
          <w:sz w:val="28"/>
          <w:vertAlign w:val="superscript"/>
        </w:rPr>
        <w:t xml:space="preserve">              </w:t>
      </w:r>
    </w:p>
    <w:p w14:paraId="36000000">
      <w:pPr>
        <w:ind w:firstLine="709"/>
        <w:jc w:val="both"/>
        <w:rPr>
          <w:sz w:val="28"/>
        </w:rPr>
      </w:pPr>
    </w:p>
    <w:p w14:paraId="37000000">
      <w:pPr>
        <w:pStyle w:val="Style_8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"garantF1://12082695.0"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от 0</w:t>
      </w:r>
      <w:r>
        <w:rPr>
          <w:rFonts w:ascii="Times New Roman" w:hAnsi="Times New Roman"/>
          <w:sz w:val="28"/>
        </w:rPr>
        <w:t>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Собрание Дергачевского муниципального района Саратовской области (далее – представительный орган муни</w:t>
      </w:r>
      <w:r>
        <w:rPr>
          <w:rFonts w:ascii="Times New Roman" w:hAnsi="Times New Roman"/>
          <w:sz w:val="28"/>
        </w:rPr>
        <w:t>ципального района) в лице главы Дергачевского муниципального района Мурзакова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Сергея Николаевича, действующего  на основании Устава Дергачевского муниципального района Саратовской области, Контрольно-счетный орган Дергачевского муниципального района Сарато</w:t>
      </w:r>
      <w:r>
        <w:rPr>
          <w:rFonts w:ascii="Times New Roman" w:hAnsi="Times New Roman"/>
          <w:sz w:val="28"/>
        </w:rPr>
        <w:t xml:space="preserve">вской области в лице председателя </w:t>
      </w:r>
      <w:r>
        <w:rPr>
          <w:rFonts w:ascii="Times New Roman" w:hAnsi="Times New Roman"/>
          <w:sz w:val="28"/>
        </w:rPr>
        <w:t>Балякина</w:t>
      </w:r>
      <w:r>
        <w:rPr>
          <w:rFonts w:ascii="Times New Roman" w:hAnsi="Times New Roman"/>
          <w:sz w:val="28"/>
        </w:rPr>
        <w:t xml:space="preserve"> Александра Васильевича, действующего на основании Положения о Контрольно-счетном органе Дергачевского муниципального района Саратовской области</w:t>
      </w:r>
      <w:r>
        <w:rPr>
          <w:rFonts w:ascii="Times New Roman" w:hAnsi="Times New Roman"/>
          <w:i w:val="1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 Совет Дергачевского муниципального образования Дергачевского муници</w:t>
      </w:r>
      <w:r>
        <w:rPr>
          <w:rFonts w:ascii="Times New Roman" w:hAnsi="Times New Roman"/>
          <w:sz w:val="28"/>
        </w:rPr>
        <w:t>пального района Саратовской области</w:t>
      </w:r>
      <w:r>
        <w:rPr>
          <w:rFonts w:ascii="Times New Roman" w:hAnsi="Times New Roman"/>
          <w:i w:val="1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 в лице И.О. главы Дергачевского  муниципального образования   </w:t>
      </w:r>
      <w:r>
        <w:rPr>
          <w:rFonts w:ascii="Times New Roman" w:hAnsi="Times New Roman"/>
          <w:sz w:val="28"/>
        </w:rPr>
        <w:t>действующего на основании Устава  Дергачевского муниципального</w:t>
      </w:r>
      <w:r>
        <w:rPr>
          <w:rFonts w:ascii="Times New Roman" w:hAnsi="Times New Roman"/>
          <w:sz w:val="28"/>
        </w:rPr>
        <w:t xml:space="preserve"> образования Дергачевского муниципального района Саратовской области, </w:t>
      </w:r>
      <w:r>
        <w:rPr>
          <w:rFonts w:ascii="Times New Roman" w:hAnsi="Times New Roman"/>
          <w:sz w:val="28"/>
        </w:rPr>
        <w:t>далее именуемые «Стороны»</w:t>
      </w:r>
      <w:r>
        <w:rPr>
          <w:rFonts w:ascii="Times New Roman" w:hAnsi="Times New Roman"/>
          <w:sz w:val="28"/>
        </w:rPr>
        <w:t>, заключили настоящее Соглашение во исполнение решения представительного органа муниципального района от 31.01.2023 г. № 26-168 и представительного органа поселения от 30.01.2023 г. № 21-54  о нижеследующем</w:t>
      </w:r>
    </w:p>
    <w:p w14:paraId="38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1. Предмет Соглашения</w:t>
      </w:r>
    </w:p>
    <w:p w14:paraId="39000000">
      <w:pPr>
        <w:ind w:firstLine="540"/>
        <w:jc w:val="both"/>
        <w:rPr>
          <w:sz w:val="28"/>
        </w:rPr>
      </w:pPr>
      <w:r>
        <w:rPr>
          <w:sz w:val="28"/>
        </w:rPr>
        <w:t>1.1. Предметом настоящего С</w:t>
      </w:r>
      <w:r>
        <w:rPr>
          <w:sz w:val="28"/>
        </w:rPr>
        <w:t>оглашения является передача Контрольно-счетному органу Дергачевского муниципального района Саратовской области (далее – контрольно-счетный орган района) полномочий контрольно-счетного органа Дергачевского муниципального образования (далее – контрольно-счет</w:t>
      </w:r>
      <w:r>
        <w:rPr>
          <w:sz w:val="28"/>
        </w:rPr>
        <w:t>ный орган поселения):</w:t>
      </w:r>
    </w:p>
    <w:p w14:paraId="3A000000">
      <w:pPr>
        <w:ind w:firstLine="709"/>
        <w:jc w:val="both"/>
        <w:rPr>
          <w:sz w:val="28"/>
        </w:rPr>
      </w:pPr>
      <w:r>
        <w:rPr>
          <w:sz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r>
        <w:rPr>
          <w:sz w:val="28"/>
        </w:rPr>
        <w:t>дств в сл</w:t>
      </w:r>
      <w:r>
        <w:rPr>
          <w:sz w:val="28"/>
        </w:rPr>
        <w:t>учаях, предусмотренных законодательством Российской Федерации;</w:t>
      </w:r>
    </w:p>
    <w:p w14:paraId="3B000000">
      <w:pPr>
        <w:ind w:firstLine="709"/>
        <w:jc w:val="both"/>
        <w:rPr>
          <w:sz w:val="28"/>
        </w:rPr>
      </w:pPr>
      <w:r>
        <w:rPr>
          <w:sz w:val="28"/>
        </w:rPr>
        <w:t>2) экспертиза проектов местного бю</w:t>
      </w:r>
      <w:r>
        <w:rPr>
          <w:sz w:val="28"/>
        </w:rPr>
        <w:t>джета, проверка и анализ обоснованности его показателей;</w:t>
      </w:r>
    </w:p>
    <w:p w14:paraId="3C000000">
      <w:pPr>
        <w:ind w:firstLine="709"/>
        <w:jc w:val="both"/>
        <w:rPr>
          <w:sz w:val="28"/>
        </w:rPr>
      </w:pPr>
      <w:r>
        <w:rPr>
          <w:sz w:val="28"/>
        </w:rPr>
        <w:t>3) внешняя проверка годового отчета об исполнении местного бюджета;</w:t>
      </w:r>
    </w:p>
    <w:p w14:paraId="3D000000">
      <w:pPr>
        <w:ind w:firstLine="709"/>
        <w:jc w:val="both"/>
        <w:rPr>
          <w:sz w:val="28"/>
        </w:rPr>
      </w:pPr>
      <w:r>
        <w:rPr>
          <w:sz w:val="28"/>
        </w:rPr>
        <w:t>4) проведение аудита в сфере закупок товаров, работ и услуг в соответствии с Федеральным</w:t>
      </w:r>
      <w:r>
        <w:rPr>
          <w:rStyle w:val="Style_4_ch"/>
          <w:color w:themeColor="text1" w:val="000000"/>
          <w:sz w:val="28"/>
        </w:rPr>
        <w:t> </w:t>
      </w:r>
      <w:r>
        <w:rPr>
          <w:rStyle w:val="Style_5_ch"/>
          <w:color w:themeColor="text1" w:val="000000"/>
          <w:sz w:val="28"/>
        </w:rPr>
        <w:fldChar w:fldCharType="begin"/>
      </w:r>
      <w:r>
        <w:rPr>
          <w:rStyle w:val="Style_5_ch"/>
          <w:color w:themeColor="text1" w:val="000000"/>
          <w:sz w:val="28"/>
        </w:rPr>
        <w:instrText>HYPERLINK "https://legalacts.ru/doc/44_FZ-o-kontraktnoj-sisteme/"</w:instrText>
      </w:r>
      <w:r>
        <w:rPr>
          <w:rStyle w:val="Style_5_ch"/>
          <w:color w:themeColor="text1" w:val="000000"/>
          <w:sz w:val="28"/>
        </w:rPr>
        <w:fldChar w:fldCharType="separate"/>
      </w:r>
      <w:r>
        <w:rPr>
          <w:rStyle w:val="Style_5_ch"/>
          <w:color w:themeColor="text1" w:val="000000"/>
          <w:sz w:val="28"/>
        </w:rPr>
        <w:t>законом</w:t>
      </w:r>
      <w:r>
        <w:rPr>
          <w:rStyle w:val="Style_5_ch"/>
          <w:color w:themeColor="text1" w:val="000000"/>
          <w:sz w:val="28"/>
        </w:rPr>
        <w:fldChar w:fldCharType="end"/>
      </w:r>
      <w:r>
        <w:rPr>
          <w:rStyle w:val="Style_4_ch"/>
          <w:color w:themeColor="text1" w:val="000000"/>
          <w:sz w:val="28"/>
        </w:rPr>
        <w:t> </w:t>
      </w:r>
      <w:r>
        <w:rPr>
          <w:sz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3E000000">
      <w:pPr>
        <w:ind w:firstLine="709"/>
        <w:jc w:val="both"/>
        <w:rPr>
          <w:sz w:val="28"/>
        </w:rPr>
      </w:pPr>
      <w:r>
        <w:rPr>
          <w:sz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</w:t>
      </w:r>
      <w:r>
        <w:rPr>
          <w:sz w:val="28"/>
        </w:rPr>
        <w:t>распоряжения такой собственностью (включая искл</w:t>
      </w:r>
      <w:r>
        <w:rPr>
          <w:sz w:val="28"/>
        </w:rPr>
        <w:t>ючительные права на результаты интеллектуальной деятельности);</w:t>
      </w:r>
    </w:p>
    <w:p w14:paraId="3F000000">
      <w:pPr>
        <w:ind w:firstLine="709"/>
        <w:jc w:val="both"/>
        <w:rPr>
          <w:sz w:val="28"/>
        </w:rPr>
      </w:pPr>
      <w:r>
        <w:rPr>
          <w:sz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</w:t>
      </w:r>
      <w:r>
        <w:rPr>
          <w:sz w:val="28"/>
        </w:rPr>
        <w:t xml:space="preserve">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40000000">
      <w:pPr>
        <w:ind w:firstLine="709"/>
        <w:jc w:val="both"/>
        <w:rPr>
          <w:sz w:val="28"/>
        </w:rPr>
      </w:pPr>
      <w:r>
        <w:rPr>
          <w:sz w:val="28"/>
        </w:rPr>
        <w:t>7) эксперти</w:t>
      </w:r>
      <w:r>
        <w:rPr>
          <w:sz w:val="28"/>
        </w:rPr>
        <w:t>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</w:t>
      </w:r>
      <w:r>
        <w:rPr>
          <w:sz w:val="28"/>
        </w:rPr>
        <w:t>ципальных программ);</w:t>
      </w:r>
    </w:p>
    <w:p w14:paraId="41000000">
      <w:pPr>
        <w:ind w:firstLine="709"/>
        <w:jc w:val="both"/>
        <w:rPr>
          <w:sz w:val="28"/>
        </w:rPr>
      </w:pPr>
      <w:r>
        <w:rPr>
          <w:sz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2000000">
      <w:pPr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</w:t>
      </w:r>
      <w:r>
        <w:rPr>
          <w:sz w:val="28"/>
        </w:rPr>
        <w:t>литических мероприятий в представительный орган муниципального образования и главе муниципального образования;</w:t>
      </w:r>
    </w:p>
    <w:p w14:paraId="43000000">
      <w:pPr>
        <w:ind w:firstLine="709"/>
        <w:jc w:val="both"/>
        <w:rPr>
          <w:sz w:val="28"/>
        </w:rPr>
      </w:pPr>
      <w:r>
        <w:rPr>
          <w:sz w:val="28"/>
        </w:rPr>
        <w:t>10) осуществление контроля за состоянием муниципального внутреннего и внешнего долга;</w:t>
      </w:r>
    </w:p>
    <w:p w14:paraId="44000000">
      <w:pPr>
        <w:ind w:firstLine="709"/>
        <w:jc w:val="both"/>
        <w:rPr>
          <w:sz w:val="28"/>
        </w:rPr>
      </w:pPr>
      <w:r>
        <w:rPr>
          <w:sz w:val="28"/>
        </w:rPr>
        <w:t>11) оценка реализуемости, рисков и результатов достижения ц</w:t>
      </w:r>
      <w:r>
        <w:rPr>
          <w:sz w:val="28"/>
        </w:rPr>
        <w:t>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45000000">
      <w:pPr>
        <w:ind w:firstLine="709"/>
        <w:jc w:val="both"/>
        <w:rPr>
          <w:sz w:val="28"/>
        </w:rPr>
      </w:pPr>
      <w:r>
        <w:rPr>
          <w:sz w:val="28"/>
        </w:rPr>
        <w:t>12) участие в пределах пол</w:t>
      </w:r>
      <w:r>
        <w:rPr>
          <w:sz w:val="28"/>
        </w:rPr>
        <w:t>номочий в мероприятиях, направленных на противодействие коррупции;</w:t>
      </w:r>
    </w:p>
    <w:p w14:paraId="46000000">
      <w:pPr>
        <w:ind w:firstLine="709"/>
        <w:jc w:val="both"/>
        <w:rPr>
          <w:sz w:val="28"/>
        </w:rPr>
      </w:pPr>
      <w:r>
        <w:rPr>
          <w:sz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</w:t>
      </w:r>
      <w:r>
        <w:rPr>
          <w:sz w:val="28"/>
        </w:rPr>
        <w:t>и представительного органа муниципального образования.</w:t>
      </w:r>
    </w:p>
    <w:p w14:paraId="47000000">
      <w:pPr>
        <w:ind w:firstLine="540"/>
        <w:jc w:val="both"/>
        <w:rPr>
          <w:sz w:val="28"/>
        </w:rPr>
      </w:pPr>
    </w:p>
    <w:p w14:paraId="48000000">
      <w:pPr>
        <w:keepNext w:val="1"/>
        <w:ind w:firstLine="0" w:left="709"/>
        <w:jc w:val="both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2. Предоставление ежегодного объема межбюджетных трансфертов</w:t>
      </w:r>
    </w:p>
    <w:p w14:paraId="49000000">
      <w:pPr>
        <w:ind w:firstLine="709"/>
        <w:jc w:val="both"/>
        <w:rPr>
          <w:sz w:val="28"/>
        </w:rPr>
      </w:pPr>
      <w:r>
        <w:rPr>
          <w:sz w:val="28"/>
        </w:rPr>
        <w:t>2.1. Объем межбюджетных трансфертов на первый год действия Соглашения,  устанавливается в размере 25,0 тыс. рублей.</w:t>
      </w:r>
    </w:p>
    <w:p w14:paraId="4A000000">
      <w:pPr>
        <w:ind w:firstLine="709"/>
        <w:jc w:val="both"/>
        <w:rPr>
          <w:sz w:val="28"/>
        </w:rPr>
      </w:pPr>
      <w:r>
        <w:rPr>
          <w:sz w:val="28"/>
        </w:rPr>
        <w:t>2.2. Межбюджетные</w:t>
      </w:r>
      <w:r>
        <w:rPr>
          <w:sz w:val="28"/>
        </w:rPr>
        <w:t xml:space="preserve"> трансферты перечисляются двумя частями в сроки до 1юня 2023г. (не менее 1/2 годового объема межбюджетных трансфертов) и до 1 октября 2023г. (оставшаяся часть межбюджетных трансфертов). Дополнительный объем межбюджетных трансфертов перечисляется в сроки, у</w:t>
      </w:r>
      <w:r>
        <w:rPr>
          <w:sz w:val="28"/>
        </w:rPr>
        <w:t>становленные дополнительным Соглашением.</w:t>
      </w:r>
    </w:p>
    <w:p w14:paraId="4B000000">
      <w:pPr>
        <w:ind w:firstLine="708"/>
        <w:jc w:val="both"/>
        <w:rPr>
          <w:sz w:val="28"/>
        </w:rPr>
      </w:pPr>
      <w:r>
        <w:rPr>
          <w:sz w:val="28"/>
        </w:rPr>
        <w:t>2.3.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</w:t>
      </w:r>
      <w:r>
        <w:rPr>
          <w:sz w:val="28"/>
        </w:rPr>
        <w:t>лу бюджетной классификации</w:t>
      </w:r>
    </w:p>
    <w:p w14:paraId="4C000000">
      <w:pPr>
        <w:ind w:firstLine="708"/>
        <w:jc w:val="both"/>
        <w:rPr>
          <w:sz w:val="28"/>
        </w:rPr>
      </w:pPr>
      <w:r>
        <w:rPr>
          <w:sz w:val="28"/>
        </w:rPr>
        <w:t xml:space="preserve">2.4. Межбюджетные трансферты зачисляются в бюджет муниципального района по соответствующему коду бюджетной классификации доходов. </w:t>
      </w:r>
    </w:p>
    <w:p w14:paraId="4D000000">
      <w:pPr>
        <w:keepNext w:val="1"/>
        <w:spacing w:before="120"/>
        <w:ind w:firstLine="0" w:left="709"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3. Права и обязанности сторон</w:t>
      </w:r>
    </w:p>
    <w:p w14:paraId="4E000000">
      <w:pPr>
        <w:ind w:firstLine="720"/>
        <w:jc w:val="both"/>
        <w:rPr>
          <w:sz w:val="28"/>
          <w:vertAlign w:val="superscript"/>
        </w:rPr>
      </w:pPr>
      <w:r>
        <w:rPr>
          <w:sz w:val="28"/>
        </w:rPr>
        <w:t>3.1.Представительный орган муниципального района:</w:t>
      </w:r>
    </w:p>
    <w:p w14:paraId="4F000000">
      <w:pPr>
        <w:ind w:firstLine="720"/>
        <w:jc w:val="both"/>
        <w:rPr>
          <w:sz w:val="28"/>
        </w:rPr>
      </w:pPr>
      <w:r>
        <w:rPr>
          <w:sz w:val="28"/>
        </w:rPr>
        <w:t>3.1.1 устанавливае</w:t>
      </w:r>
      <w:r>
        <w:rPr>
          <w:sz w:val="28"/>
        </w:rPr>
        <w:t>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50000000">
      <w:pPr>
        <w:ind w:firstLine="720"/>
        <w:jc w:val="both"/>
        <w:rPr>
          <w:sz w:val="28"/>
        </w:rPr>
      </w:pPr>
      <w:r>
        <w:rPr>
          <w:sz w:val="28"/>
        </w:rPr>
        <w:t xml:space="preserve">3.1.2 устанавливает штатную численность контрольно-счетного органа района с учетом необходимости осуществления </w:t>
      </w:r>
      <w:r>
        <w:rPr>
          <w:sz w:val="28"/>
        </w:rPr>
        <w:t>предусмотренных настоящим Соглашением полномочий;</w:t>
      </w:r>
    </w:p>
    <w:p w14:paraId="51000000">
      <w:pPr>
        <w:ind w:firstLine="720"/>
        <w:jc w:val="both"/>
        <w:rPr>
          <w:sz w:val="28"/>
        </w:rPr>
      </w:pPr>
      <w:r>
        <w:rPr>
          <w:sz w:val="28"/>
        </w:rPr>
        <w:t>3.1.3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14:paraId="52000000">
      <w:pPr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1.4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14:paraId="53000000">
      <w:pPr>
        <w:ind w:firstLine="0" w:left="900"/>
        <w:jc w:val="both"/>
        <w:rPr>
          <w:sz w:val="28"/>
        </w:rPr>
      </w:pPr>
      <w:r>
        <w:rPr>
          <w:sz w:val="28"/>
        </w:rPr>
        <w:t>3.2. Контрольно-счетный орган  района:</w:t>
      </w:r>
    </w:p>
    <w:p w14:paraId="54000000">
      <w:pPr>
        <w:ind w:firstLine="900"/>
        <w:jc w:val="both"/>
        <w:rPr>
          <w:sz w:val="28"/>
        </w:rPr>
      </w:pPr>
      <w:r>
        <w:rPr>
          <w:sz w:val="28"/>
        </w:rPr>
        <w:t>3.2.1 включа</w:t>
      </w:r>
      <w:r>
        <w:rPr>
          <w:sz w:val="28"/>
        </w:rPr>
        <w:t>ет в планы своей работы:</w:t>
      </w:r>
    </w:p>
    <w:p w14:paraId="55000000">
      <w:pPr>
        <w:ind w:firstLine="900"/>
        <w:jc w:val="both"/>
        <w:rPr>
          <w:sz w:val="28"/>
        </w:rPr>
      </w:pPr>
      <w:r>
        <w:rPr>
          <w:sz w:val="28"/>
        </w:rPr>
        <w:t xml:space="preserve">ежегодно - внешнюю проверку годового отчета об исполнении бюджета поселения </w:t>
      </w:r>
    </w:p>
    <w:p w14:paraId="56000000">
      <w:pPr>
        <w:ind w:firstLine="900"/>
        <w:jc w:val="both"/>
        <w:rPr>
          <w:sz w:val="28"/>
        </w:rPr>
      </w:pPr>
      <w:r>
        <w:rPr>
          <w:sz w:val="28"/>
        </w:rPr>
        <w:t xml:space="preserve">3.2.2 для подготовки к внешней проверке годового отчета об исполнении бюджета поселения имеет право в течение соответствующего года осуществлять контроль </w:t>
      </w:r>
      <w:r>
        <w:rPr>
          <w:sz w:val="28"/>
        </w:rPr>
        <w:t>за исполнением бюджета поселения и использованием средств бюджета поселения;</w:t>
      </w:r>
    </w:p>
    <w:p w14:paraId="57000000">
      <w:pPr>
        <w:ind w:firstLine="900"/>
        <w:jc w:val="both"/>
        <w:rPr>
          <w:sz w:val="28"/>
        </w:rPr>
      </w:pPr>
      <w:r>
        <w:rPr>
          <w:sz w:val="28"/>
        </w:rPr>
        <w:t>3.2.3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</w:t>
      </w:r>
      <w:r>
        <w:rPr>
          <w:sz w:val="28"/>
        </w:rPr>
        <w:t>ми внешнего муниципального финансового контроля;</w:t>
      </w:r>
    </w:p>
    <w:p w14:paraId="58000000">
      <w:pPr>
        <w:ind w:firstLine="900"/>
        <w:jc w:val="both"/>
        <w:rPr>
          <w:sz w:val="28"/>
        </w:rPr>
      </w:pPr>
      <w:r>
        <w:rPr>
          <w:sz w:val="28"/>
        </w:rPr>
        <w:t>3.2.4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59000000">
      <w:pPr>
        <w:ind w:firstLine="900"/>
        <w:jc w:val="both"/>
        <w:rPr>
          <w:sz w:val="28"/>
        </w:rPr>
      </w:pPr>
      <w:r>
        <w:rPr>
          <w:sz w:val="28"/>
        </w:rPr>
        <w:t>3.2.5 раз</w:t>
      </w:r>
      <w:r>
        <w:rPr>
          <w:sz w:val="28"/>
        </w:rPr>
        <w:t>мещает информацию о проведенных мероприятиях на официальном сайте Дергачевского муниципального района в сети «Интернет»;</w:t>
      </w:r>
    </w:p>
    <w:p w14:paraId="5A000000">
      <w:pPr>
        <w:ind w:firstLine="900"/>
        <w:jc w:val="both"/>
        <w:rPr>
          <w:sz w:val="28"/>
        </w:rPr>
      </w:pPr>
      <w:r>
        <w:rPr>
          <w:sz w:val="28"/>
        </w:rPr>
        <w:t>3.2.6 направляет представления и предписания администрации поселения, другим проверяемым органам и организациям, принимает другие преду</w:t>
      </w:r>
      <w:r>
        <w:rPr>
          <w:sz w:val="28"/>
        </w:rPr>
        <w:t>смотренные законодательством меры по устранению и предотвращению выявляемых нарушений;</w:t>
      </w:r>
    </w:p>
    <w:p w14:paraId="5B000000">
      <w:pPr>
        <w:ind w:firstLine="900"/>
        <w:jc w:val="both"/>
        <w:rPr>
          <w:sz w:val="28"/>
        </w:rPr>
      </w:pPr>
      <w:r>
        <w:rPr>
          <w:sz w:val="28"/>
        </w:rPr>
        <w:t>3.2.7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</w:t>
      </w:r>
      <w:r>
        <w:rPr>
          <w:sz w:val="28"/>
        </w:rPr>
        <w:t>правлять органам местного самоуправления поселения соответствующие предложения;</w:t>
      </w:r>
    </w:p>
    <w:p w14:paraId="5C000000">
      <w:pPr>
        <w:ind w:firstLine="900"/>
        <w:jc w:val="both"/>
        <w:rPr>
          <w:sz w:val="28"/>
        </w:rPr>
      </w:pPr>
      <w:r>
        <w:rPr>
          <w:sz w:val="28"/>
        </w:rPr>
        <w:t>3.2.8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</w:t>
      </w:r>
      <w:r>
        <w:rPr>
          <w:sz w:val="28"/>
        </w:rPr>
        <w:t xml:space="preserve"> по их устранению;</w:t>
      </w:r>
    </w:p>
    <w:p w14:paraId="5D000000">
      <w:pPr>
        <w:ind w:firstLine="900"/>
        <w:jc w:val="both"/>
        <w:rPr>
          <w:sz w:val="28"/>
        </w:rPr>
      </w:pPr>
      <w:r>
        <w:rPr>
          <w:sz w:val="28"/>
        </w:rPr>
        <w:t>3.2.9 обеспечивает использование сре</w:t>
      </w:r>
      <w:r>
        <w:rPr>
          <w:sz w:val="28"/>
        </w:rPr>
        <w:t>дств пр</w:t>
      </w:r>
      <w:r>
        <w:rPr>
          <w:sz w:val="28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5E000000">
      <w:pPr>
        <w:ind w:firstLine="900"/>
        <w:jc w:val="both"/>
        <w:rPr>
          <w:sz w:val="28"/>
        </w:rPr>
      </w:pPr>
      <w:r>
        <w:rPr>
          <w:sz w:val="28"/>
        </w:rPr>
        <w:t xml:space="preserve">3.2.10 имеет </w:t>
      </w:r>
      <w:r>
        <w:rPr>
          <w:sz w:val="28"/>
        </w:rPr>
        <w:t>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5F000000">
      <w:pPr>
        <w:ind w:firstLine="900"/>
        <w:jc w:val="both"/>
        <w:rPr>
          <w:sz w:val="28"/>
        </w:rPr>
      </w:pPr>
      <w:r>
        <w:rPr>
          <w:sz w:val="28"/>
        </w:rPr>
        <w:t xml:space="preserve">3.2.11 обеспечивает предоставление представительному </w:t>
      </w:r>
      <w:r>
        <w:rPr>
          <w:sz w:val="28"/>
        </w:rPr>
        <w:t>органу поселения,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60000000">
      <w:pPr>
        <w:ind w:firstLine="900"/>
        <w:jc w:val="both"/>
        <w:rPr>
          <w:sz w:val="28"/>
        </w:rPr>
      </w:pPr>
      <w:r>
        <w:rPr>
          <w:sz w:val="28"/>
        </w:rPr>
        <w:t xml:space="preserve">3.2.12 </w:t>
      </w:r>
      <w:r>
        <w:rPr>
          <w:sz w:val="28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14:paraId="61000000">
      <w:pPr>
        <w:ind w:firstLine="900"/>
        <w:jc w:val="both"/>
        <w:rPr>
          <w:sz w:val="28"/>
        </w:rPr>
      </w:pPr>
      <w:r>
        <w:rPr>
          <w:sz w:val="28"/>
        </w:rPr>
        <w:t>3.3. Представительный орган посел</w:t>
      </w:r>
      <w:r>
        <w:rPr>
          <w:sz w:val="28"/>
        </w:rPr>
        <w:t>ения:</w:t>
      </w:r>
    </w:p>
    <w:p w14:paraId="62000000">
      <w:pPr>
        <w:ind w:firstLine="900"/>
        <w:jc w:val="both"/>
        <w:rPr>
          <w:sz w:val="28"/>
        </w:rPr>
      </w:pPr>
      <w:r>
        <w:rPr>
          <w:sz w:val="28"/>
        </w:rPr>
        <w:t>3.3.1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</w:t>
      </w:r>
      <w:r>
        <w:rPr>
          <w:sz w:val="28"/>
        </w:rPr>
        <w:t>числение в бюджет муниципального района;</w:t>
      </w:r>
    </w:p>
    <w:p w14:paraId="63000000">
      <w:pPr>
        <w:ind w:firstLine="900"/>
        <w:jc w:val="both"/>
        <w:rPr>
          <w:sz w:val="28"/>
        </w:rPr>
      </w:pPr>
      <w:r>
        <w:rPr>
          <w:sz w:val="28"/>
        </w:rPr>
        <w:t>3.3.2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64000000">
      <w:pPr>
        <w:ind w:firstLine="900"/>
        <w:jc w:val="both"/>
        <w:rPr>
          <w:sz w:val="28"/>
        </w:rPr>
      </w:pPr>
      <w:r>
        <w:rPr>
          <w:sz w:val="28"/>
        </w:rPr>
        <w:t>3.3.3 имеет право опубликовывать информацию</w:t>
      </w:r>
      <w:r>
        <w:rPr>
          <w:sz w:val="28"/>
        </w:rPr>
        <w:t xml:space="preserve"> о проведенных мероприятиях в средствах массовой информации, направлять отчеты и заключения контрольно-счетного органа района третьим лицам;</w:t>
      </w:r>
    </w:p>
    <w:p w14:paraId="65000000">
      <w:pPr>
        <w:ind w:firstLine="900"/>
        <w:jc w:val="both"/>
        <w:rPr>
          <w:sz w:val="28"/>
        </w:rPr>
      </w:pPr>
      <w:r>
        <w:rPr>
          <w:sz w:val="28"/>
        </w:rPr>
        <w:t>3.3.4 рассматривает обращения контрольно-счетного органа района по поводу устранения препятствий для выполнения пре</w:t>
      </w:r>
      <w:r>
        <w:rPr>
          <w:sz w:val="28"/>
        </w:rPr>
        <w:t>дусмотренных настоящим Соглашением полномочий, принимает необходимые для их устранения муниципальные правовые акты;</w:t>
      </w:r>
    </w:p>
    <w:p w14:paraId="66000000">
      <w:pPr>
        <w:ind w:firstLine="900"/>
        <w:jc w:val="both"/>
        <w:rPr>
          <w:sz w:val="28"/>
        </w:rPr>
      </w:pPr>
      <w:r>
        <w:rPr>
          <w:sz w:val="28"/>
        </w:rPr>
        <w:t>3.3.5 получает отчеты об использовании предусмотренных настоящим Соглашением межбюджетных трансфертов и информацию об осуществлении предусмо</w:t>
      </w:r>
      <w:r>
        <w:rPr>
          <w:sz w:val="28"/>
        </w:rPr>
        <w:t>тренных настоящим Соглашением полномочий;</w:t>
      </w:r>
    </w:p>
    <w:p w14:paraId="67000000">
      <w:pPr>
        <w:ind w:firstLine="900"/>
        <w:jc w:val="both"/>
        <w:rPr>
          <w:sz w:val="28"/>
        </w:rPr>
      </w:pPr>
      <w:r>
        <w:rPr>
          <w:sz w:val="28"/>
        </w:rPr>
        <w:t>3.3.6 имеет право приостановить перечисление предусмотренных настоящим Соглашением межбюджетных трансфертов в случае невыполнения  контрольно-счетным органом района своих обязательств.</w:t>
      </w:r>
    </w:p>
    <w:p w14:paraId="68000000">
      <w:pPr>
        <w:ind w:firstLine="900"/>
        <w:jc w:val="both"/>
        <w:rPr>
          <w:sz w:val="28"/>
        </w:rPr>
      </w:pPr>
      <w:r>
        <w:rPr>
          <w:sz w:val="28"/>
        </w:rPr>
        <w:t>3.4. Стороны имеют право прин</w:t>
      </w:r>
      <w:r>
        <w:rPr>
          <w:sz w:val="28"/>
        </w:rPr>
        <w:t>имать иные меры, необходимые для реализации настоящего Соглашения.</w:t>
      </w:r>
    </w:p>
    <w:p w14:paraId="69000000">
      <w:pPr>
        <w:ind w:firstLine="900"/>
        <w:jc w:val="both"/>
        <w:rPr>
          <w:sz w:val="28"/>
        </w:rPr>
      </w:pPr>
    </w:p>
    <w:p w14:paraId="6A000000">
      <w:pPr>
        <w:pStyle w:val="Style_7"/>
        <w:ind/>
        <w:jc w:val="center"/>
        <w:rPr>
          <w:b w:val="1"/>
          <w:sz w:val="28"/>
        </w:rPr>
      </w:pPr>
      <w:r>
        <w:rPr>
          <w:b w:val="1"/>
          <w:sz w:val="28"/>
        </w:rPr>
        <w:t>4. В целях реализации пункта 1 настоящего Соглашения Стороны обязуются:</w:t>
      </w:r>
    </w:p>
    <w:p w14:paraId="6B000000">
      <w:pPr>
        <w:pStyle w:val="Style_7"/>
        <w:ind w:firstLine="708"/>
        <w:jc w:val="both"/>
        <w:rPr>
          <w:sz w:val="28"/>
        </w:rPr>
      </w:pPr>
      <w:r>
        <w:rPr>
          <w:sz w:val="28"/>
        </w:rPr>
        <w:t xml:space="preserve">4.1 </w:t>
      </w:r>
      <w:r>
        <w:rPr>
          <w:b w:val="1"/>
          <w:sz w:val="28"/>
        </w:rPr>
        <w:t xml:space="preserve">«Поселение» </w:t>
      </w:r>
      <w:r>
        <w:rPr>
          <w:sz w:val="28"/>
        </w:rPr>
        <w:t xml:space="preserve"> </w:t>
      </w:r>
    </w:p>
    <w:p w14:paraId="6C000000">
      <w:pPr>
        <w:pStyle w:val="Style_7"/>
        <w:ind/>
        <w:jc w:val="both"/>
        <w:rPr>
          <w:b w:val="1"/>
          <w:sz w:val="28"/>
        </w:rPr>
      </w:pPr>
      <w:r>
        <w:rPr>
          <w:sz w:val="28"/>
        </w:rPr>
        <w:t>4.1.1</w:t>
      </w:r>
      <w:r>
        <w:rPr>
          <w:sz w:val="28"/>
        </w:rPr>
        <w:t xml:space="preserve"> П</w:t>
      </w:r>
      <w:r>
        <w:rPr>
          <w:sz w:val="28"/>
        </w:rPr>
        <w:t>еречисляет межбюджетные трансферты передаваемые бюджету Дергачевского муниципального района</w:t>
      </w:r>
      <w:r>
        <w:rPr>
          <w:sz w:val="28"/>
        </w:rPr>
        <w:t xml:space="preserve"> из бюджета Дергачевского муниципального образования  на осуществления и полномочия по решению вопроса указанного в п. 1</w:t>
      </w:r>
      <w:r>
        <w:rPr>
          <w:sz w:val="28"/>
        </w:rPr>
        <w:t xml:space="preserve"> 25,0 тыс. руб.</w:t>
      </w:r>
    </w:p>
    <w:p w14:paraId="6D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4.1.2. Представляет контрольно </w:t>
      </w:r>
      <w:r>
        <w:rPr>
          <w:sz w:val="28"/>
        </w:rPr>
        <w:t>–с</w:t>
      </w:r>
      <w:r>
        <w:rPr>
          <w:sz w:val="28"/>
        </w:rPr>
        <w:t xml:space="preserve">четному органу Дергачевского муниципального района </w:t>
      </w:r>
      <w:r>
        <w:rPr>
          <w:b w:val="1"/>
          <w:sz w:val="28"/>
        </w:rPr>
        <w:t xml:space="preserve"> </w:t>
      </w:r>
      <w:r>
        <w:rPr>
          <w:sz w:val="28"/>
        </w:rPr>
        <w:t>необходимую документацию и информац</w:t>
      </w:r>
      <w:r>
        <w:rPr>
          <w:sz w:val="28"/>
        </w:rPr>
        <w:t>ию относящуюся к предмету настоящего Соглашения.</w:t>
      </w:r>
    </w:p>
    <w:p w14:paraId="6E000000">
      <w:pPr>
        <w:pStyle w:val="Style_7"/>
        <w:ind/>
        <w:jc w:val="both"/>
        <w:rPr>
          <w:sz w:val="28"/>
        </w:rPr>
      </w:pPr>
      <w:r>
        <w:rPr>
          <w:sz w:val="28"/>
        </w:rPr>
        <w:t>4.2 Контрольно-счетный орган Дергачевского муниципального района в соответствии с настоящим Соглашением осуществляет переданное полномочие согласно п. 1 в соответствии с требованиями действующего законодател</w:t>
      </w:r>
      <w:r>
        <w:rPr>
          <w:sz w:val="28"/>
        </w:rPr>
        <w:t>ьства;</w:t>
      </w:r>
    </w:p>
    <w:p w14:paraId="6F000000">
      <w:pPr>
        <w:pStyle w:val="Style_7"/>
        <w:ind/>
        <w:jc w:val="both"/>
        <w:rPr>
          <w:sz w:val="28"/>
        </w:rPr>
      </w:pPr>
      <w:r>
        <w:rPr>
          <w:sz w:val="28"/>
        </w:rPr>
        <w:t>4.2.2. Направляет поступившие финансовые средства (трансферты) в полном объеме на осуществление переданного полномочия, указанного в</w:t>
      </w:r>
      <w:r>
        <w:rPr>
          <w:b w:val="1"/>
          <w:sz w:val="28"/>
        </w:rPr>
        <w:t xml:space="preserve"> п</w:t>
      </w:r>
      <w:r>
        <w:rPr>
          <w:sz w:val="28"/>
        </w:rPr>
        <w:t>.</w:t>
      </w:r>
      <w:r>
        <w:rPr>
          <w:b w:val="1"/>
          <w:sz w:val="28"/>
        </w:rPr>
        <w:t xml:space="preserve"> 1 </w:t>
      </w:r>
      <w:r>
        <w:rPr>
          <w:sz w:val="28"/>
        </w:rPr>
        <w:t>обеспечивая их целевое использование:</w:t>
      </w:r>
    </w:p>
    <w:p w14:paraId="70000000">
      <w:pPr>
        <w:pStyle w:val="Style_7"/>
        <w:ind/>
        <w:jc w:val="center"/>
        <w:rPr>
          <w:b w:val="1"/>
          <w:sz w:val="28"/>
        </w:rPr>
      </w:pPr>
    </w:p>
    <w:p w14:paraId="71000000">
      <w:pPr>
        <w:pStyle w:val="Style_7"/>
        <w:ind/>
        <w:jc w:val="center"/>
        <w:rPr>
          <w:b w:val="1"/>
          <w:sz w:val="28"/>
        </w:rPr>
      </w:pPr>
      <w:r>
        <w:rPr>
          <w:b w:val="1"/>
          <w:sz w:val="28"/>
        </w:rPr>
        <w:t>5. Срок действия Соглашения</w:t>
      </w:r>
    </w:p>
    <w:p w14:paraId="72000000">
      <w:pPr>
        <w:pStyle w:val="Style_7"/>
        <w:ind w:firstLine="708"/>
        <w:jc w:val="both"/>
        <w:rPr>
          <w:sz w:val="28"/>
        </w:rPr>
      </w:pPr>
      <w:r>
        <w:rPr>
          <w:sz w:val="28"/>
        </w:rPr>
        <w:t xml:space="preserve">5.1. Настоящее Соглашение вступает в силу с </w:t>
      </w:r>
      <w:r>
        <w:rPr>
          <w:sz w:val="28"/>
        </w:rPr>
        <w:t>момента обнародования решения по передаче полномочий согласно п.1  и действует по 31 декабря 2023 года.</w:t>
      </w:r>
    </w:p>
    <w:p w14:paraId="73000000">
      <w:pPr>
        <w:ind w:firstLine="708"/>
        <w:jc w:val="both"/>
        <w:rPr>
          <w:sz w:val="28"/>
        </w:rPr>
      </w:pPr>
      <w:r>
        <w:rPr>
          <w:sz w:val="28"/>
        </w:rPr>
        <w:t xml:space="preserve">5.2. При отсутствии письменного обращения какой-либо из сторон о прекращении действия Соглашения, направленного до истечения срока действия Соглашения, </w:t>
      </w:r>
      <w:r>
        <w:rPr>
          <w:sz w:val="28"/>
        </w:rPr>
        <w:t>Соглашение считается пролонгированным на срок один год.</w:t>
      </w:r>
    </w:p>
    <w:p w14:paraId="74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       5.3.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</w:t>
      </w:r>
      <w:r>
        <w:rPr>
          <w:sz w:val="28"/>
        </w:rPr>
        <w:t>ением, действие Соглашения приостанавливается до момента утверждения соответствующих межбюджетных трансфертов</w:t>
      </w:r>
    </w:p>
    <w:p w14:paraId="75000000">
      <w:pPr>
        <w:pStyle w:val="Style_7"/>
        <w:ind/>
        <w:jc w:val="center"/>
        <w:rPr>
          <w:b w:val="1"/>
          <w:sz w:val="28"/>
        </w:rPr>
      </w:pPr>
    </w:p>
    <w:p w14:paraId="76000000">
      <w:pPr>
        <w:pStyle w:val="Style_7"/>
        <w:ind/>
        <w:jc w:val="center"/>
        <w:rPr>
          <w:b w:val="1"/>
          <w:sz w:val="28"/>
        </w:rPr>
      </w:pPr>
      <w:r>
        <w:rPr>
          <w:b w:val="1"/>
          <w:sz w:val="28"/>
        </w:rPr>
        <w:t>6.Ответственность сторон</w:t>
      </w:r>
    </w:p>
    <w:p w14:paraId="77000000">
      <w:pPr>
        <w:pStyle w:val="Style_7"/>
        <w:ind/>
        <w:jc w:val="both"/>
        <w:rPr>
          <w:b w:val="1"/>
          <w:sz w:val="28"/>
        </w:rPr>
      </w:pPr>
      <w:r>
        <w:rPr>
          <w:sz w:val="28"/>
        </w:rPr>
        <w:t xml:space="preserve">          6.1.Каждая из Сторон несет ответственность за исполнение условий настоящего Соглашения  в соответствии с </w:t>
      </w:r>
      <w:r>
        <w:rPr>
          <w:sz w:val="28"/>
        </w:rPr>
        <w:t>законодательством Российской Федерации.</w:t>
      </w:r>
    </w:p>
    <w:p w14:paraId="78000000">
      <w:pPr>
        <w:pStyle w:val="Style_7"/>
        <w:ind/>
        <w:jc w:val="center"/>
        <w:rPr>
          <w:b w:val="1"/>
          <w:sz w:val="28"/>
        </w:rPr>
      </w:pPr>
      <w:r>
        <w:rPr>
          <w:b w:val="1"/>
          <w:sz w:val="28"/>
        </w:rPr>
        <w:t>7. Порядок расторжения Соглашения</w:t>
      </w:r>
    </w:p>
    <w:p w14:paraId="79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       7.1.Каждая из Сторон вправе  расторгнуть Соглашение, письменно уведомив другую Сторону за 30 дней до дня расторжения и указав причины досрочного расторжения Соглашения.</w:t>
      </w:r>
    </w:p>
    <w:p w14:paraId="7A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7.2.По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даты и</w:t>
      </w:r>
      <w:r>
        <w:rPr>
          <w:sz w:val="28"/>
        </w:rPr>
        <w:t>х подписания Сторонами.</w:t>
      </w:r>
    </w:p>
    <w:p w14:paraId="7B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       7.3.Неурегулированные Сторонами споры и разногласия, возникающие при исполнении настоящего Соглашения, подлежат рассмотрению в порядке, предусмотренном действующим законодательством.</w:t>
      </w:r>
    </w:p>
    <w:p w14:paraId="7C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       7.4. Настоящее Соглашение сос</w:t>
      </w:r>
      <w:r>
        <w:rPr>
          <w:sz w:val="28"/>
        </w:rPr>
        <w:t>тавлено в 3 (трех) экземплярах, по одному экземпляру для каждой из Сторон, имеющих равную юридическую силу.</w:t>
      </w:r>
    </w:p>
    <w:p w14:paraId="7D000000">
      <w:pPr>
        <w:pStyle w:val="Style_7"/>
        <w:ind/>
        <w:jc w:val="center"/>
        <w:rPr>
          <w:b w:val="1"/>
          <w:sz w:val="28"/>
        </w:rPr>
      </w:pPr>
      <w:r>
        <w:rPr>
          <w:b w:val="1"/>
          <w:sz w:val="28"/>
        </w:rPr>
        <w:t>8.Финансовые санкции за не исполнение Соглашения</w:t>
      </w:r>
    </w:p>
    <w:p w14:paraId="7E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      8.1.В случае нарушения  «</w:t>
      </w:r>
      <w:r>
        <w:rPr>
          <w:b w:val="1"/>
          <w:sz w:val="28"/>
        </w:rPr>
        <w:t>Поселением</w:t>
      </w:r>
      <w:r>
        <w:rPr>
          <w:sz w:val="28"/>
        </w:rPr>
        <w:t>» срока перечисления межбюджетных трансфертов, «</w:t>
      </w:r>
      <w:r>
        <w:rPr>
          <w:b w:val="1"/>
          <w:sz w:val="28"/>
        </w:rPr>
        <w:t>Поселен</w:t>
      </w:r>
      <w:r>
        <w:rPr>
          <w:b w:val="1"/>
          <w:sz w:val="28"/>
        </w:rPr>
        <w:t>ию</w:t>
      </w:r>
      <w:r>
        <w:rPr>
          <w:sz w:val="28"/>
        </w:rPr>
        <w:t>» начисляются пени в размере 0,01% за каждый день просрочки исполнения обязательства по перечислению межбюджетных трансфертов.</w:t>
      </w:r>
    </w:p>
    <w:p w14:paraId="7F000000">
      <w:pPr>
        <w:pStyle w:val="Style_7"/>
        <w:ind/>
        <w:jc w:val="both"/>
        <w:rPr>
          <w:sz w:val="28"/>
        </w:rPr>
      </w:pPr>
      <w:r>
        <w:rPr>
          <w:sz w:val="28"/>
        </w:rPr>
        <w:t xml:space="preserve">          8.2. В случае ненадлежащего исполнения принятых полномочий контрольно –счетным органом Дергачевского муниципального р</w:t>
      </w:r>
      <w:r>
        <w:rPr>
          <w:sz w:val="28"/>
        </w:rPr>
        <w:t>айона влечет за собой возврат перечисленных межбюджетных трансфертов в бюджет _____________ муниципального образования, за вычетом фактических расходов, подтвержденных документально, в срок в течени</w:t>
      </w:r>
      <w:r>
        <w:rPr>
          <w:sz w:val="28"/>
        </w:rPr>
        <w:t>и</w:t>
      </w:r>
      <w:r>
        <w:rPr>
          <w:sz w:val="28"/>
        </w:rPr>
        <w:t xml:space="preserve"> 1 месяца с момента подписания Соглашения, а также уплату</w:t>
      </w:r>
      <w:r>
        <w:rPr>
          <w:sz w:val="28"/>
        </w:rPr>
        <w:t xml:space="preserve"> неустойки в размере 0,01% от суммы межбюджетных трансфертов за отчетный год, выделяемых из бюджета поселения на осуществление указанных полномочий.</w:t>
      </w:r>
    </w:p>
    <w:p w14:paraId="80000000">
      <w:pPr>
        <w:pStyle w:val="Style_7"/>
        <w:ind/>
        <w:jc w:val="both"/>
        <w:rPr>
          <w:sz w:val="28"/>
        </w:rPr>
      </w:pPr>
      <w:r>
        <w:rPr>
          <w:sz w:val="28"/>
        </w:rPr>
        <w:t>8.3 Ущерб причиненный неисполнением или ненадлежащим исполнением настоящего Соглашения одной из сторон друг</w:t>
      </w:r>
      <w:r>
        <w:rPr>
          <w:sz w:val="28"/>
        </w:rPr>
        <w:t xml:space="preserve">ой стороне, полностью компенсируется виновной стороной. «Сторона», не исполнившая или </w:t>
      </w:r>
      <w:r>
        <w:rPr>
          <w:sz w:val="28"/>
        </w:rPr>
        <w:t>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</w:t>
      </w:r>
      <w:r>
        <w:rPr>
          <w:sz w:val="28"/>
        </w:rPr>
        <w:t>оятельств непреодолимой силы или действий другой стороны.</w:t>
      </w:r>
    </w:p>
    <w:p w14:paraId="81000000">
      <w:pPr>
        <w:ind w:firstLine="709"/>
        <w:jc w:val="both"/>
        <w:rPr>
          <w:sz w:val="28"/>
        </w:rPr>
      </w:pPr>
    </w:p>
    <w:tbl>
      <w:tblPr>
        <w:tblStyle w:val="Style_9"/>
        <w:tblLayout w:type="fixed"/>
      </w:tblPr>
      <w:tblGrid>
        <w:gridCol w:w="4927"/>
        <w:gridCol w:w="5261"/>
      </w:tblGrid>
      <w:tr>
        <w:tc>
          <w:tcPr>
            <w:tcW w:type="dxa" w:w="4927"/>
          </w:tcPr>
          <w:p w14:paraId="82000000">
            <w:pPr>
              <w:ind w:right="284"/>
            </w:pPr>
            <w:r>
              <w:rPr>
                <w:sz w:val="28"/>
              </w:rPr>
              <w:t>Глава Дергачевского муниципального района</w:t>
            </w:r>
          </w:p>
          <w:p w14:paraId="83000000">
            <w:pPr>
              <w:ind w:right="284"/>
              <w:rPr>
                <w:sz w:val="28"/>
              </w:rPr>
            </w:pPr>
          </w:p>
          <w:p w14:paraId="8400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>
              <w:rPr>
                <w:sz w:val="28"/>
                <w:u w:val="single"/>
              </w:rPr>
              <w:t>Мурзаков</w:t>
            </w:r>
            <w:r>
              <w:rPr>
                <w:sz w:val="28"/>
                <w:u w:val="single"/>
              </w:rPr>
              <w:t xml:space="preserve"> С.Н</w:t>
            </w:r>
          </w:p>
          <w:p w14:paraId="85000000">
            <w:pPr>
              <w:ind w:right="284"/>
            </w:pPr>
            <w:r>
              <w:t>_________________</w:t>
            </w:r>
          </w:p>
          <w:p w14:paraId="86000000">
            <w:pPr>
              <w:ind w:right="284"/>
            </w:pPr>
            <w:r>
              <w:t>(Дата подписания)</w:t>
            </w:r>
          </w:p>
          <w:p w14:paraId="87000000">
            <w:pPr>
              <w:ind w:right="284"/>
              <w:rPr>
                <w:sz w:val="28"/>
              </w:rPr>
            </w:pPr>
          </w:p>
        </w:tc>
        <w:tc>
          <w:tcPr>
            <w:tcW w:type="dxa" w:w="5261"/>
          </w:tcPr>
          <w:p w14:paraId="8800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И.О. главы Дергачевского муниципального образования</w:t>
            </w:r>
          </w:p>
          <w:p w14:paraId="89000000">
            <w:pPr>
              <w:ind w:right="284"/>
              <w:rPr>
                <w:sz w:val="28"/>
              </w:rPr>
            </w:pPr>
          </w:p>
          <w:p w14:paraId="8A00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__________________Полещук</w:t>
            </w:r>
            <w:r>
              <w:rPr>
                <w:sz w:val="28"/>
              </w:rPr>
              <w:t xml:space="preserve"> Ф.М.</w:t>
            </w:r>
          </w:p>
        </w:tc>
      </w:tr>
      <w:tr>
        <w:tc>
          <w:tcPr>
            <w:tcW w:type="dxa" w:w="4927"/>
          </w:tcPr>
          <w:p w14:paraId="8B000000">
            <w:pPr>
              <w:ind w:right="284"/>
            </w:pPr>
            <w:r>
              <w:rPr>
                <w:sz w:val="28"/>
              </w:rPr>
              <w:t>Председатель Контрольно-счетного органа  Дергачевского муниципального района</w:t>
            </w:r>
            <w:r>
              <w:t xml:space="preserve"> </w:t>
            </w:r>
          </w:p>
          <w:p w14:paraId="8C000000">
            <w:pPr>
              <w:ind w:right="284"/>
              <w:rPr>
                <w:sz w:val="28"/>
              </w:rPr>
            </w:pPr>
          </w:p>
          <w:p w14:paraId="8D000000">
            <w:pPr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________________( А.В. </w:t>
            </w:r>
            <w:r>
              <w:rPr>
                <w:sz w:val="28"/>
              </w:rPr>
              <w:t>Балякин</w:t>
            </w:r>
            <w:r>
              <w:rPr>
                <w:sz w:val="28"/>
              </w:rPr>
              <w:t xml:space="preserve"> )</w:t>
            </w:r>
          </w:p>
          <w:p w14:paraId="8E000000">
            <w:pPr>
              <w:ind w:right="284"/>
            </w:pPr>
            <w:r>
              <w:t>_________________</w:t>
            </w:r>
          </w:p>
          <w:p w14:paraId="8F000000">
            <w:pPr>
              <w:ind w:right="284"/>
            </w:pPr>
            <w:r>
              <w:t>(Дата подписания)</w:t>
            </w:r>
          </w:p>
          <w:p w14:paraId="90000000">
            <w:pPr>
              <w:ind w:right="284"/>
              <w:rPr>
                <w:sz w:val="28"/>
              </w:rPr>
            </w:pPr>
          </w:p>
          <w:p w14:paraId="91000000">
            <w:pPr>
              <w:ind w:right="284"/>
              <w:rPr>
                <w:sz w:val="28"/>
              </w:rPr>
            </w:pPr>
          </w:p>
        </w:tc>
        <w:tc>
          <w:tcPr>
            <w:tcW w:type="dxa" w:w="5261"/>
          </w:tcPr>
          <w:p w14:paraId="92000000">
            <w:pPr>
              <w:ind w:right="284"/>
              <w:rPr>
                <w:sz w:val="28"/>
              </w:rPr>
            </w:pPr>
          </w:p>
        </w:tc>
      </w:tr>
    </w:tbl>
    <w:p w14:paraId="93000000">
      <w:pPr>
        <w:rPr>
          <w:sz w:val="28"/>
        </w:rPr>
      </w:pPr>
    </w:p>
    <w:sectPr>
      <w:pgSz w:h="16838" w:w="11906"/>
      <w:pgMar w:bottom="284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0_ch" w:type="character">
    <w:name w:val="Normal"/>
    <w:link w:val="Style_10"/>
    <w:rPr>
      <w:rFonts w:ascii="Times New Roman" w:hAnsi="Times New Roman"/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toc 4"/>
    <w:next w:val="Style_10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toc 6"/>
    <w:next w:val="Style_10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10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pboth"/>
    <w:basedOn w:val="Style_10"/>
    <w:link w:val="Style_15_ch"/>
    <w:pPr>
      <w:spacing w:afterAutospacing="on" w:beforeAutospacing="on"/>
      <w:ind/>
    </w:pPr>
  </w:style>
  <w:style w:styleId="Style_15_ch" w:type="character">
    <w:name w:val="pboth"/>
    <w:basedOn w:val="Style_10_ch"/>
    <w:link w:val="Style_15"/>
  </w:style>
  <w:style w:styleId="Style_16" w:type="paragraph">
    <w:name w:val="heading 3"/>
    <w:next w:val="Style_10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17" w:type="paragraph">
    <w:name w:val="Базовый"/>
    <w:link w:val="Style_17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17_ch" w:type="character">
    <w:name w:val="Базовый"/>
    <w:link w:val="Style_17"/>
    <w:rPr>
      <w:rFonts w:ascii="Calibri" w:hAnsi="Calibri"/>
      <w:color w:val="00000A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6" w:type="paragraph">
    <w:name w:val="Body Text 2"/>
    <w:basedOn w:val="Style_10"/>
    <w:link w:val="Style_6_ch"/>
    <w:pPr>
      <w:spacing w:after="120" w:line="480" w:lineRule="auto"/>
      <w:ind/>
    </w:pPr>
  </w:style>
  <w:style w:styleId="Style_6_ch" w:type="character">
    <w:name w:val="Body Text 2"/>
    <w:basedOn w:val="Style_10_ch"/>
    <w:link w:val="Style_6"/>
  </w:style>
  <w:style w:styleId="Style_19" w:type="paragraph">
    <w:name w:val="toc 3"/>
    <w:next w:val="Style_10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heading 5"/>
    <w:next w:val="Style_10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basedOn w:val="Style_10"/>
    <w:next w:val="Style_10"/>
    <w:link w:val="Style_2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21_ch" w:type="character">
    <w:name w:val="heading 1"/>
    <w:basedOn w:val="Style_10_ch"/>
    <w:link w:val="Style_21"/>
    <w:rPr>
      <w:rFonts w:ascii="Arial" w:hAnsi="Arial"/>
      <w:b w:val="1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10"/>
    <w:link w:val="Style_24_ch"/>
    <w:uiPriority w:val="39"/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8" w:type="paragraph">
    <w:name w:val="Прижатый влево"/>
    <w:basedOn w:val="Style_10"/>
    <w:next w:val="Style_10"/>
    <w:link w:val="Style_8_ch"/>
    <w:rPr>
      <w:rFonts w:ascii="Arial" w:hAnsi="Arial"/>
    </w:rPr>
  </w:style>
  <w:style w:styleId="Style_8_ch" w:type="character">
    <w:name w:val="Прижатый влево"/>
    <w:basedOn w:val="Style_10_ch"/>
    <w:link w:val="Style_8"/>
    <w:rPr>
      <w:rFonts w:ascii="Arial" w:hAnsi="Arial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10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Обычный1"/>
    <w:link w:val="Style_28_ch"/>
    <w:rPr>
      <w:rFonts w:ascii="Times New Roman" w:hAnsi="Times New Roman"/>
      <w:sz w:val="24"/>
    </w:rPr>
  </w:style>
  <w:style w:styleId="Style_28_ch" w:type="character">
    <w:name w:val="Обычный1"/>
    <w:link w:val="Style_28"/>
    <w:rPr>
      <w:rFonts w:ascii="Times New Roman" w:hAnsi="Times New Roman"/>
      <w:sz w:val="24"/>
    </w:rPr>
  </w:style>
  <w:style w:styleId="Style_29" w:type="paragraph">
    <w:name w:val="toc 8"/>
    <w:next w:val="Style_10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10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5" w:type="paragraph">
    <w:name w:val="Гиперссылка1"/>
    <w:basedOn w:val="Style_18"/>
    <w:link w:val="Style_5_ch"/>
    <w:rPr>
      <w:color w:val="0000FF"/>
      <w:u w:val="single"/>
    </w:rPr>
  </w:style>
  <w:style w:styleId="Style_5_ch" w:type="character">
    <w:name w:val="Гиперссылка1"/>
    <w:basedOn w:val="Style_18_ch"/>
    <w:link w:val="Style_5"/>
    <w:rPr>
      <w:color w:val="0000FF"/>
      <w:u w:val="single"/>
    </w:rPr>
  </w:style>
  <w:style w:styleId="Style_31" w:type="paragraph">
    <w:name w:val="Balloon Text"/>
    <w:basedOn w:val="Style_10"/>
    <w:link w:val="Style_31_ch"/>
    <w:rPr>
      <w:rFonts w:ascii="Tahoma" w:hAnsi="Tahoma"/>
      <w:sz w:val="16"/>
    </w:rPr>
  </w:style>
  <w:style w:styleId="Style_31_ch" w:type="character">
    <w:name w:val="Balloon Text"/>
    <w:basedOn w:val="Style_10_ch"/>
    <w:link w:val="Style_31"/>
    <w:rPr>
      <w:rFonts w:ascii="Tahoma" w:hAnsi="Tahoma"/>
      <w:sz w:val="16"/>
    </w:rPr>
  </w:style>
  <w:style w:styleId="Style_3" w:type="paragraph">
    <w:name w:val="Основной текст с отступом 21"/>
    <w:basedOn w:val="Style_10"/>
    <w:link w:val="Style_3_ch"/>
    <w:pPr>
      <w:ind w:firstLine="561"/>
    </w:pPr>
    <w:rPr>
      <w:sz w:val="28"/>
    </w:rPr>
  </w:style>
  <w:style w:styleId="Style_3_ch" w:type="character">
    <w:name w:val="Основной текст с отступом 21"/>
    <w:basedOn w:val="Style_10_ch"/>
    <w:link w:val="Style_3"/>
    <w:rPr>
      <w:sz w:val="28"/>
    </w:rPr>
  </w:style>
  <w:style w:styleId="Style_32" w:type="paragraph">
    <w:name w:val="Subtitle"/>
    <w:next w:val="Style_10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No Spacing"/>
    <w:link w:val="Style_7"/>
    <w:rPr>
      <w:rFonts w:ascii="Times New Roman" w:hAnsi="Times New Roman"/>
      <w:sz w:val="24"/>
    </w:rPr>
  </w:style>
  <w:style w:styleId="Style_33" w:type="paragraph">
    <w:name w:val="toc 10"/>
    <w:next w:val="Style_10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1" w:type="paragraph">
    <w:name w:val="Title"/>
    <w:basedOn w:val="Style_10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10_ch"/>
    <w:link w:val="Style_1"/>
    <w:rPr>
      <w:b w:val="1"/>
      <w:sz w:val="28"/>
    </w:rPr>
  </w:style>
  <w:style w:styleId="Style_34" w:type="paragraph">
    <w:name w:val="heading 4"/>
    <w:next w:val="Style_10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4" w:type="paragraph">
    <w:name w:val="apple-converted-space"/>
    <w:basedOn w:val="Style_18"/>
    <w:link w:val="Style_4_ch"/>
  </w:style>
  <w:style w:styleId="Style_4_ch" w:type="character">
    <w:name w:val="apple-converted-space"/>
    <w:basedOn w:val="Style_18_ch"/>
    <w:link w:val="Style_4"/>
  </w:style>
  <w:style w:styleId="Style_2" w:type="paragraph">
    <w:name w:val="heading 2"/>
    <w:basedOn w:val="Style_10"/>
    <w:next w:val="Style_10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10_ch"/>
    <w:link w:val="Style_2"/>
    <w:rPr>
      <w:rFonts w:asciiTheme="majorAscii" w:hAnsiTheme="majorHAnsi"/>
      <w:b w:val="1"/>
      <w:color w:themeColor="accent1" w:val="4F81BD"/>
      <w:sz w:val="26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2023-03-13T05:28:10Z</dcterms:modified>
</cp:coreProperties>
</file>