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center"/>
        <w:rPr>
          <w:b w:val="1"/>
        </w:rPr>
      </w:pPr>
      <w:r>
        <w:t xml:space="preserve"> </w:t>
      </w:r>
      <w:r>
        <w:rPr>
          <w:b w:val="1"/>
        </w:rPr>
        <w:t xml:space="preserve">СОВЕТ ДЕРГАЧЕВСКОГО                                                  </w:t>
      </w:r>
    </w:p>
    <w:p w14:paraId="02000000">
      <w:pPr>
        <w:ind/>
        <w:jc w:val="center"/>
        <w:rPr>
          <w:b w:val="1"/>
        </w:rPr>
      </w:pPr>
      <w:r>
        <w:rPr>
          <w:b w:val="1"/>
        </w:rPr>
        <w:t>МУНИЦИПАЛЬНОГО ОБРАЗОВАНИЯ</w:t>
      </w:r>
    </w:p>
    <w:p w14:paraId="03000000">
      <w:pPr>
        <w:ind/>
        <w:jc w:val="center"/>
        <w:rPr>
          <w:b w:val="1"/>
        </w:rPr>
      </w:pPr>
      <w:r>
        <w:rPr>
          <w:b w:val="1"/>
        </w:rPr>
        <w:t>ДЕРГАЧЕВСКОГО МУНИЦИПАЛЬНОГО РАЙОНА</w:t>
      </w:r>
    </w:p>
    <w:p w14:paraId="04000000">
      <w:pPr>
        <w:ind/>
        <w:jc w:val="center"/>
        <w:rPr>
          <w:b w:val="1"/>
        </w:rPr>
      </w:pPr>
      <w:r>
        <w:rPr>
          <w:b w:val="1"/>
        </w:rPr>
        <w:t>САРАТОВСКОЙ ОБЛАСТИ</w:t>
      </w:r>
    </w:p>
    <w:p w14:paraId="05000000">
      <w:pPr>
        <w:ind/>
        <w:jc w:val="center"/>
        <w:rPr>
          <w:sz w:val="15"/>
        </w:rPr>
      </w:pPr>
    </w:p>
    <w:p w14:paraId="06000000">
      <w:pPr>
        <w:ind/>
        <w:jc w:val="center"/>
        <w:rPr>
          <w:sz w:val="15"/>
        </w:rPr>
      </w:pPr>
    </w:p>
    <w:p w14:paraId="07000000">
      <w:pPr>
        <w:pStyle w:val="Style_1"/>
      </w:pPr>
    </w:p>
    <w:p w14:paraId="08000000">
      <w:pPr>
        <w:pStyle w:val="Style_1"/>
      </w:pPr>
    </w:p>
    <w:p w14:paraId="09000000">
      <w:pPr>
        <w:pStyle w:val="Style_1"/>
      </w:pPr>
      <w:r>
        <w:t xml:space="preserve">РЕШЕНИЕ  </w:t>
      </w:r>
      <w:r>
        <w:t>№</w:t>
      </w:r>
      <w:r>
        <w:t xml:space="preserve">  60-145</w:t>
      </w:r>
    </w:p>
    <w:p w14:paraId="0A000000">
      <w:pPr>
        <w:pStyle w:val="Style_1"/>
      </w:pPr>
      <w:r>
        <w:t>от 30 января 2026 г.</w:t>
      </w:r>
    </w:p>
    <w:p w14:paraId="0B000000">
      <w:pPr>
        <w:pStyle w:val="Style_1"/>
      </w:pPr>
    </w:p>
    <w:p w14:paraId="0C000000">
      <w:pPr>
        <w:pStyle w:val="Style_2"/>
        <w:ind w:right="2208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О передаче полномочий </w:t>
      </w:r>
      <w:r>
        <w:rPr>
          <w:rFonts w:ascii="Cambria" w:hAnsi="Cambria"/>
          <w:color w:val="000000"/>
        </w:rPr>
        <w:t>контрольно-счетного</w:t>
      </w:r>
    </w:p>
    <w:p w14:paraId="0D000000">
      <w:pPr>
        <w:pStyle w:val="Style_2"/>
        <w:keepLines w:val="0"/>
        <w:numPr>
          <w:ilvl w:val="1"/>
          <w:numId w:val="1"/>
        </w:numPr>
        <w:spacing w:before="0"/>
        <w:ind w:right="2208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органа   Дергачевс кого муниципального образования</w:t>
      </w:r>
      <w:r>
        <w:rPr>
          <w:color w:themeColor="text1" w:val="000000"/>
        </w:rPr>
        <w:t xml:space="preserve"> контрольно-счетному органу Дергачевского</w:t>
      </w:r>
      <w:r>
        <w:rPr>
          <w:rFonts w:ascii="Cambria" w:hAnsi="Cambria"/>
          <w:color w:val="000000"/>
        </w:rPr>
        <w:t xml:space="preserve"> муниципального района и </w:t>
      </w:r>
      <w:r>
        <w:rPr>
          <w:rFonts w:ascii="Cambria" w:hAnsi="Cambria"/>
          <w:color w:val="000000"/>
        </w:rPr>
        <w:t>заключении</w:t>
      </w:r>
      <w:r>
        <w:rPr>
          <w:rFonts w:ascii="Cambria" w:hAnsi="Cambria"/>
          <w:color w:val="000000"/>
        </w:rPr>
        <w:t xml:space="preserve"> </w:t>
      </w:r>
      <w:r>
        <w:rPr>
          <w:color w:themeColor="text1" w:val="000000"/>
        </w:rPr>
        <w:t>С</w:t>
      </w:r>
      <w:r>
        <w:rPr>
          <w:rFonts w:ascii="Cambria" w:hAnsi="Cambria"/>
          <w:color w:val="000000"/>
        </w:rPr>
        <w:t>оглашения</w:t>
      </w:r>
    </w:p>
    <w:p w14:paraId="0E000000">
      <w:pPr>
        <w:ind/>
        <w:jc w:val="both"/>
        <w:rPr>
          <w:sz w:val="28"/>
        </w:rPr>
      </w:pPr>
      <w:r>
        <w:rPr>
          <w:sz w:val="28"/>
        </w:rPr>
        <w:t xml:space="preserve">          В соответствии с Федеральным законом от 7 февраля 2011 года №6-ФЗ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>
        <w:rPr>
          <w:sz w:val="28"/>
        </w:rPr>
        <w:t>руководствуясь</w:t>
      </w:r>
      <w:r>
        <w:rPr>
          <w:sz w:val="28"/>
        </w:rPr>
        <w:t xml:space="preserve"> Уставо</w:t>
      </w:r>
      <w:r>
        <w:rPr>
          <w:sz w:val="28"/>
        </w:rPr>
        <w:t>м</w:t>
      </w:r>
      <w:r>
        <w:rPr>
          <w:sz w:val="28"/>
        </w:rPr>
        <w:t xml:space="preserve"> </w:t>
      </w:r>
      <w:r>
        <w:rPr>
          <w:sz w:val="28"/>
        </w:rPr>
        <w:t xml:space="preserve">Дергачевского </w:t>
      </w:r>
      <w:r>
        <w:rPr>
          <w:sz w:val="28"/>
        </w:rPr>
        <w:t>муниципальн</w:t>
      </w:r>
      <w:r>
        <w:rPr>
          <w:sz w:val="28"/>
        </w:rPr>
        <w:t>ого</w:t>
      </w:r>
      <w:r>
        <w:rPr>
          <w:sz w:val="28"/>
        </w:rPr>
        <w:t xml:space="preserve"> образовани</w:t>
      </w:r>
      <w:r>
        <w:rPr>
          <w:sz w:val="28"/>
        </w:rPr>
        <w:t>я</w:t>
      </w:r>
      <w:r>
        <w:rPr>
          <w:sz w:val="28"/>
        </w:rPr>
        <w:t xml:space="preserve"> Дергачевского муниципального района Саратовской области, в целях, наибол</w:t>
      </w:r>
      <w:r>
        <w:rPr>
          <w:sz w:val="28"/>
        </w:rPr>
        <w:t xml:space="preserve">ее эффективного осуществления </w:t>
      </w:r>
      <w:r>
        <w:rPr>
          <w:sz w:val="28"/>
        </w:rPr>
        <w:t xml:space="preserve"> финансового контроля</w:t>
      </w:r>
    </w:p>
    <w:p w14:paraId="0F000000">
      <w:pPr>
        <w:numPr>
          <w:ilvl w:val="0"/>
          <w:numId w:val="2"/>
        </w:numPr>
        <w:ind w:firstLine="851"/>
        <w:jc w:val="both"/>
        <w:rPr>
          <w:sz w:val="28"/>
        </w:rPr>
      </w:pP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Совет решил:</w:t>
      </w:r>
    </w:p>
    <w:p w14:paraId="11000000">
      <w:pPr>
        <w:ind/>
        <w:jc w:val="center"/>
        <w:rPr>
          <w:b w:val="1"/>
          <w:sz w:val="28"/>
        </w:rPr>
      </w:pPr>
    </w:p>
    <w:p w14:paraId="12000000">
      <w:pPr>
        <w:pStyle w:val="Style_3"/>
        <w:ind w:firstLine="851"/>
        <w:jc w:val="both"/>
      </w:pPr>
      <w:r>
        <w:t>1.</w:t>
      </w:r>
      <w:r>
        <w:t>Передать</w:t>
      </w:r>
      <w:r>
        <w:t xml:space="preserve"> с 1 января 20</w:t>
      </w:r>
      <w:r>
        <w:t>26</w:t>
      </w:r>
      <w:r>
        <w:t xml:space="preserve"> года полномочия контрольно-счетного органа</w:t>
      </w:r>
      <w:r>
        <w:t xml:space="preserve"> Дергачевского</w:t>
      </w:r>
      <w:r>
        <w:t xml:space="preserve">  муниципальн</w:t>
      </w:r>
      <w:r>
        <w:t>ого</w:t>
      </w:r>
      <w:r>
        <w:t xml:space="preserve">  образовани</w:t>
      </w:r>
      <w:r>
        <w:t xml:space="preserve">я </w:t>
      </w:r>
      <w:r>
        <w:t xml:space="preserve"> </w:t>
      </w:r>
      <w:r>
        <w:t xml:space="preserve">                                </w:t>
      </w:r>
      <w:r>
        <w:t xml:space="preserve"> контрольно-счетному органу Дергачевского муниципального района:</w:t>
      </w:r>
    </w:p>
    <w:p w14:paraId="13000000">
      <w:pPr>
        <w:pStyle w:val="Style_3"/>
        <w:ind w:firstLine="851"/>
        <w:jc w:val="both"/>
      </w:pPr>
      <w:r>
        <w:t xml:space="preserve"> </w:t>
      </w:r>
      <w:r>
        <w:t xml:space="preserve"> </w:t>
      </w:r>
      <w:r>
        <w:t>1) контроль за законностью и эффективностью использования средств бюджета муниципального образования, а так же иных сре</w:t>
      </w:r>
      <w:r>
        <w:t>дств в сл</w:t>
      </w:r>
      <w:r>
        <w:t>учаях, предусмотренных законодательством Российской Федерации;</w:t>
      </w:r>
    </w:p>
    <w:p w14:paraId="14000000">
      <w:pPr>
        <w:pStyle w:val="Style_3"/>
        <w:ind w:firstLine="851"/>
        <w:jc w:val="both"/>
      </w:pPr>
      <w:r>
        <w:t>2) экспертиза проектов бюджета муниципального образования, проверка и анализ обоснованности его показателей;</w:t>
      </w:r>
    </w:p>
    <w:p w14:paraId="15000000">
      <w:pPr>
        <w:pStyle w:val="Style_3"/>
        <w:ind w:firstLine="851"/>
        <w:jc w:val="both"/>
      </w:pPr>
      <w:r>
        <w:t>3) внешняя проверка годового отчета об исполнении бюджета муниципального образования;</w:t>
      </w:r>
    </w:p>
    <w:p w14:paraId="16000000">
      <w:pPr>
        <w:pStyle w:val="Style_3"/>
        <w:ind w:firstLine="851"/>
        <w:jc w:val="both"/>
      </w:pPr>
      <w:r>
        <w:t>4) проведение аудита в сфере закупок товаров, работ и услуг в соответствии с Федеральным законом от 5 апреля 2013 года №44-ФЗ "О контрактной системе в сфере закупок товаров, работ, услуг для обеспечения государственных и муниципальных нужд";</w:t>
      </w:r>
    </w:p>
    <w:p w14:paraId="17000000">
      <w:pPr>
        <w:pStyle w:val="Style_4"/>
        <w:spacing w:after="0" w:line="240" w:lineRule="auto"/>
        <w:ind w:firstLine="720"/>
        <w:jc w:val="both"/>
      </w:pPr>
      <w:r>
        <w:rPr>
          <w:sz w:val="28"/>
        </w:rPr>
        <w:t>5) 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  <w:r>
        <w:t xml:space="preserve"> </w:t>
      </w:r>
    </w:p>
    <w:p w14:paraId="18000000">
      <w:pPr>
        <w:pStyle w:val="Style_4"/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 xml:space="preserve">6) 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программ);7) финансово-экономическая экспертиза проектов муниципальных правовых актов (включая </w:t>
      </w:r>
      <w:r>
        <w:rPr>
          <w:sz w:val="28"/>
        </w:rPr>
        <w:t>обоснованность финансово-экономических обоснований) в части, касающейся расходных обязательств муниципального образования, а также муниципальных программ;</w:t>
      </w:r>
    </w:p>
    <w:p w14:paraId="19000000">
      <w:pPr>
        <w:pStyle w:val="Style_3"/>
        <w:ind w:firstLine="851"/>
        <w:jc w:val="both"/>
      </w:pPr>
      <w:r>
        <w:t xml:space="preserve">7) 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 </w:t>
      </w:r>
    </w:p>
    <w:p w14:paraId="1A000000">
      <w:pPr>
        <w:pStyle w:val="Style_3"/>
        <w:ind w:firstLine="851"/>
        <w:jc w:val="both"/>
      </w:pPr>
      <w:r>
        <w:t>8) проведение оперативного анализа исполнения и контроля за организацией исполнения местного бюджета в текущем финансовом году, представление информации о результатах проведенных контрольных и экспертно-аналитических мероприятий в представительный орган муниципального образования и главе муниципального образования;</w:t>
      </w:r>
    </w:p>
    <w:p w14:paraId="1B000000">
      <w:pPr>
        <w:pStyle w:val="Style_3"/>
        <w:ind w:firstLine="851"/>
        <w:jc w:val="both"/>
      </w:pPr>
      <w:r>
        <w:t>9) осуществление контроля за состоянием муниципального внутреннего и внешнего долга;</w:t>
      </w:r>
    </w:p>
    <w:p w14:paraId="1C000000">
      <w:pPr>
        <w:pStyle w:val="Style_3"/>
        <w:ind w:firstLine="851"/>
        <w:jc w:val="both"/>
      </w:pPr>
      <w:r>
        <w:t>10) 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контрольно-счетного органа муниципального образования;</w:t>
      </w:r>
    </w:p>
    <w:p w14:paraId="1D000000">
      <w:pPr>
        <w:pStyle w:val="Style_3"/>
        <w:ind w:firstLine="851"/>
        <w:jc w:val="both"/>
      </w:pPr>
      <w:r>
        <w:t>11) участие в пределах полномочий в мероприятиях, направленных на противодействие коррупции;</w:t>
      </w:r>
    </w:p>
    <w:p w14:paraId="1E000000">
      <w:pPr>
        <w:pStyle w:val="Style_3"/>
        <w:ind w:firstLine="851"/>
        <w:jc w:val="both"/>
      </w:pPr>
      <w:r>
        <w:t>12) иные полномочия в сфере внешнего муниципального финансового контроля, установленные федеральными законами, законами Саратовской области, Уставом муниципального образования и нормативными правовыми актами Совета муниципального образования;</w:t>
      </w:r>
    </w:p>
    <w:p w14:paraId="1F000000">
      <w:pPr>
        <w:pStyle w:val="Style_4"/>
        <w:spacing w:after="0" w:line="240" w:lineRule="auto"/>
        <w:ind w:firstLine="720"/>
        <w:jc w:val="both"/>
      </w:pPr>
      <w:r>
        <w:t xml:space="preserve">  </w:t>
      </w:r>
    </w:p>
    <w:p w14:paraId="20000000">
      <w:pPr>
        <w:pStyle w:val="Style_4"/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Передать</w:t>
      </w:r>
      <w:r>
        <w:rPr>
          <w:sz w:val="28"/>
        </w:rPr>
        <w:t xml:space="preserve"> контрольно-счетному органу Дергачевского муниципального района финансовые средства в виде межбюджетного трансферта из бюджета </w:t>
      </w:r>
      <w:r>
        <w:rPr>
          <w:sz w:val="28"/>
        </w:rPr>
        <w:t>Дергачевского</w:t>
      </w:r>
      <w:r>
        <w:rPr>
          <w:sz w:val="28"/>
        </w:rPr>
        <w:t xml:space="preserve"> муниципальн</w:t>
      </w:r>
      <w:r>
        <w:rPr>
          <w:sz w:val="28"/>
        </w:rPr>
        <w:t>ого</w:t>
      </w:r>
      <w:r>
        <w:rPr>
          <w:sz w:val="28"/>
        </w:rPr>
        <w:t xml:space="preserve"> образовани</w:t>
      </w:r>
      <w:r>
        <w:rPr>
          <w:sz w:val="28"/>
        </w:rPr>
        <w:t>я</w:t>
      </w:r>
      <w:r>
        <w:rPr>
          <w:sz w:val="28"/>
        </w:rPr>
        <w:t>, на осуществление полномочий указанных в п. 1 в размере 26,3</w:t>
      </w:r>
      <w:r>
        <w:rPr>
          <w:sz w:val="28"/>
        </w:rPr>
        <w:t xml:space="preserve"> </w:t>
      </w:r>
      <w:r>
        <w:rPr>
          <w:sz w:val="28"/>
        </w:rPr>
        <w:t>тыс</w:t>
      </w:r>
      <w:r>
        <w:rPr>
          <w:sz w:val="28"/>
        </w:rPr>
        <w:t>,р</w:t>
      </w:r>
      <w:r>
        <w:rPr>
          <w:sz w:val="28"/>
        </w:rPr>
        <w:t>уб</w:t>
      </w:r>
      <w:r>
        <w:rPr>
          <w:sz w:val="28"/>
        </w:rPr>
        <w:t xml:space="preserve"> </w:t>
      </w:r>
      <w:r>
        <w:rPr>
          <w:sz w:val="28"/>
        </w:rPr>
        <w:t xml:space="preserve">  </w:t>
      </w:r>
    </w:p>
    <w:p w14:paraId="21000000">
      <w:pPr>
        <w:pStyle w:val="Style_3"/>
        <w:ind w:firstLine="851"/>
        <w:jc w:val="both"/>
      </w:pPr>
      <w:r>
        <w:t>3.Заключить Соглашение о передаче</w:t>
      </w:r>
      <w:r>
        <w:t xml:space="preserve"> полномочий контроль</w:t>
      </w:r>
      <w:r>
        <w:t>но-счетного органа Дергачевского муниципального  образования</w:t>
      </w:r>
      <w:r>
        <w:t xml:space="preserve"> Дергачевского муниципального района контрольно-счетному органу Дерга</w:t>
      </w:r>
      <w:r>
        <w:t>чевского муниципального района.</w:t>
      </w:r>
    </w:p>
    <w:p w14:paraId="22000000">
      <w:pPr>
        <w:pStyle w:val="Style_3"/>
        <w:ind w:firstLine="851"/>
        <w:jc w:val="both"/>
      </w:pPr>
      <w:r>
        <w:t xml:space="preserve">4.Подписание Соглашения поручить И.О. главы Дергачевского муниципального </w:t>
      </w:r>
      <w:r>
        <w:t xml:space="preserve">образования </w:t>
      </w:r>
      <w:r>
        <w:t xml:space="preserve"> Полещук Ф.М</w:t>
      </w:r>
      <w:r>
        <w:t>.</w:t>
      </w:r>
    </w:p>
    <w:p w14:paraId="23000000">
      <w:pPr>
        <w:pStyle w:val="Style_3"/>
        <w:ind w:firstLine="851"/>
        <w:jc w:val="both"/>
      </w:pPr>
      <w:r>
        <w:t xml:space="preserve">5. Настоящее решение распространяется на </w:t>
      </w:r>
      <w:r>
        <w:t>правоотношения</w:t>
      </w:r>
      <w:r>
        <w:t xml:space="preserve"> возникшие с 1 января 2026г.</w:t>
      </w:r>
    </w:p>
    <w:p w14:paraId="24000000">
      <w:pPr>
        <w:pStyle w:val="Style_3"/>
        <w:ind w:firstLine="851"/>
        <w:jc w:val="both"/>
      </w:pPr>
      <w:r>
        <w:t xml:space="preserve">6. Данное </w:t>
      </w:r>
      <w:r>
        <w:t xml:space="preserve"> решение  разместить</w:t>
      </w:r>
      <w:r>
        <w:t xml:space="preserve"> на официальном сайте администрации Дерг</w:t>
      </w:r>
      <w:r>
        <w:t>ачевского муниципального района</w:t>
      </w:r>
      <w:r>
        <w:t xml:space="preserve"> </w:t>
      </w:r>
      <w:r>
        <w:t>.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</w:p>
    <w:p w14:paraId="25000000"/>
    <w:p w14:paraId="26000000"/>
    <w:p w14:paraId="27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 </w:t>
      </w:r>
    </w:p>
    <w:p w14:paraId="28000000">
      <w:pPr>
        <w:ind/>
        <w:jc w:val="both"/>
        <w:rPr>
          <w:b w:val="1"/>
          <w:sz w:val="28"/>
        </w:rPr>
      </w:pPr>
    </w:p>
    <w:p w14:paraId="29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И.О. главы Дергачевского </w:t>
      </w:r>
    </w:p>
    <w:p w14:paraId="2A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муниципального </w:t>
      </w:r>
      <w:r>
        <w:rPr>
          <w:b w:val="1"/>
          <w:sz w:val="28"/>
        </w:rPr>
        <w:t xml:space="preserve">образования </w:t>
      </w:r>
      <w:r>
        <w:rPr>
          <w:b w:val="1"/>
          <w:sz w:val="28"/>
        </w:rPr>
        <w:t xml:space="preserve">      </w:t>
      </w:r>
      <w:r>
        <w:rPr>
          <w:b w:val="1"/>
          <w:sz w:val="28"/>
        </w:rPr>
        <w:t xml:space="preserve">     </w:t>
      </w:r>
      <w:r>
        <w:rPr>
          <w:b w:val="1"/>
          <w:sz w:val="28"/>
        </w:rPr>
        <w:t xml:space="preserve">           Полещук Ф.М.</w:t>
      </w:r>
      <w:r>
        <w:rPr>
          <w:b w:val="1"/>
          <w:sz w:val="28"/>
        </w:rPr>
        <w:t xml:space="preserve">                                             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                </w:t>
      </w:r>
    </w:p>
    <w:p w14:paraId="2B000000">
      <w:pPr>
        <w:pStyle w:val="Style_5"/>
        <w:rPr>
          <w:b w:val="1"/>
          <w:sz w:val="28"/>
        </w:rPr>
      </w:pPr>
    </w:p>
    <w:p w14:paraId="2C000000">
      <w:pPr>
        <w:pStyle w:val="Style_5"/>
        <w:rPr>
          <w:b w:val="1"/>
          <w:sz w:val="28"/>
        </w:rPr>
      </w:pPr>
    </w:p>
    <w:p w14:paraId="2D000000">
      <w:pPr>
        <w:pStyle w:val="Style_5"/>
        <w:rPr>
          <w:b w:val="1"/>
          <w:sz w:val="28"/>
        </w:rPr>
      </w:pPr>
    </w:p>
    <w:p w14:paraId="2E000000">
      <w:pPr>
        <w:pStyle w:val="Style_5"/>
        <w:rPr>
          <w:b w:val="1"/>
          <w:sz w:val="28"/>
        </w:rPr>
      </w:pPr>
    </w:p>
    <w:p w14:paraId="2F000000">
      <w:pPr>
        <w:spacing w:after="0" w:line="240" w:lineRule="auto"/>
        <w:ind/>
        <w:rPr>
          <w:rFonts w:ascii="Tahoma" w:hAnsi="Tahoma"/>
        </w:rPr>
      </w:pPr>
    </w:p>
    <w:p w14:paraId="30000000">
      <w:pPr>
        <w:spacing w:after="0" w:line="240" w:lineRule="auto"/>
        <w:ind/>
        <w:rPr>
          <w:rFonts w:ascii="Tahoma" w:hAnsi="Tahoma"/>
        </w:rPr>
      </w:pPr>
    </w:p>
    <w:p w14:paraId="31000000">
      <w:pPr>
        <w:spacing w:after="0" w:line="240" w:lineRule="auto"/>
        <w:ind/>
        <w:rPr>
          <w:rFonts w:ascii="Tahoma" w:hAnsi="Tahoma"/>
        </w:rPr>
      </w:pPr>
    </w:p>
    <w:p w14:paraId="32000000">
      <w:pPr>
        <w:spacing w:after="0" w:line="240" w:lineRule="auto"/>
        <w:ind/>
        <w:rPr>
          <w:rFonts w:ascii="Tahoma" w:hAnsi="Tahoma"/>
        </w:rPr>
      </w:pPr>
    </w:p>
    <w:p w14:paraId="33000000">
      <w:pPr>
        <w:spacing w:after="0" w:line="240" w:lineRule="auto"/>
        <w:ind/>
        <w:rPr>
          <w:rFonts w:ascii="Tahoma" w:hAnsi="Tahoma"/>
        </w:rPr>
      </w:pPr>
    </w:p>
    <w:p w14:paraId="34000000">
      <w:pPr>
        <w:spacing w:after="0" w:line="240" w:lineRule="auto"/>
        <w:ind/>
        <w:rPr>
          <w:rFonts w:ascii="Tahoma" w:hAnsi="Tahoma"/>
        </w:rPr>
      </w:pPr>
    </w:p>
    <w:p w14:paraId="35000000">
      <w:pPr>
        <w:ind/>
        <w:jc w:val="center"/>
        <w:outlineLvl w:val="0"/>
        <w:rPr>
          <w:rFonts w:ascii="Tahoma" w:hAnsi="Tahoma"/>
          <w:b w:val="1"/>
          <w:sz w:val="28"/>
        </w:rPr>
      </w:pPr>
      <w:r>
        <w:rPr>
          <w:rFonts w:ascii="Tahoma" w:hAnsi="Tahoma"/>
          <w:b w:val="1"/>
          <w:sz w:val="28"/>
        </w:rPr>
        <w:t>СОГЛАШЕНИЕ</w:t>
      </w:r>
    </w:p>
    <w:p w14:paraId="36000000">
      <w:pPr>
        <w:ind/>
        <w:jc w:val="center"/>
        <w:rPr>
          <w:rFonts w:ascii="Tahoma" w:hAnsi="Tahoma"/>
          <w:b w:val="1"/>
          <w:sz w:val="28"/>
        </w:rPr>
      </w:pPr>
      <w:r>
        <w:rPr>
          <w:rFonts w:ascii="Tahoma" w:hAnsi="Tahoma"/>
          <w:b w:val="1"/>
          <w:sz w:val="28"/>
        </w:rPr>
        <w:t xml:space="preserve">о передаче полномочий контрольно-счетного органа  Дергачевского муниципального образования </w:t>
      </w:r>
      <w:r>
        <w:rPr>
          <w:rFonts w:ascii="Tahoma" w:hAnsi="Tahoma"/>
          <w:b w:val="1"/>
          <w:sz w:val="28"/>
        </w:rPr>
        <w:t>контрольно</w:t>
      </w:r>
      <w:r>
        <w:rPr>
          <w:rFonts w:ascii="Tahoma" w:hAnsi="Tahoma"/>
          <w:b w:val="1"/>
          <w:sz w:val="28"/>
        </w:rPr>
        <w:t xml:space="preserve"> </w:t>
      </w:r>
      <w:r>
        <w:rPr>
          <w:rFonts w:ascii="Tahoma" w:hAnsi="Tahoma"/>
          <w:b w:val="1"/>
          <w:sz w:val="28"/>
        </w:rPr>
        <w:t>–с</w:t>
      </w:r>
      <w:r>
        <w:rPr>
          <w:rFonts w:ascii="Tahoma" w:hAnsi="Tahoma"/>
          <w:b w:val="1"/>
          <w:sz w:val="28"/>
        </w:rPr>
        <w:t xml:space="preserve">четному органу Дергачевского муниципального района Саратовской области </w:t>
      </w:r>
    </w:p>
    <w:p w14:paraId="37000000">
      <w:pPr>
        <w:rPr>
          <w:rFonts w:ascii="Tahoma" w:hAnsi="Tahoma"/>
          <w:sz w:val="28"/>
          <w:vertAlign w:val="superscript"/>
        </w:rPr>
      </w:pPr>
      <w:r>
        <w:rPr>
          <w:rFonts w:ascii="Tahoma" w:hAnsi="Tahoma"/>
          <w:sz w:val="28"/>
        </w:rPr>
        <w:t xml:space="preserve">№ 1                                 </w:t>
      </w:r>
      <w:r>
        <w:rPr>
          <w:rFonts w:ascii="Tahoma" w:hAnsi="Tahoma"/>
          <w:sz w:val="28"/>
        </w:rPr>
        <w:t xml:space="preserve">                                «_30_»  января 2026 г</w:t>
      </w:r>
      <w:r>
        <w:rPr>
          <w:rFonts w:ascii="Tahoma" w:hAnsi="Tahoma"/>
          <w:sz w:val="22"/>
        </w:rPr>
        <w:t xml:space="preserve">.                </w:t>
      </w:r>
      <w:r>
        <w:rPr>
          <w:rFonts w:ascii="Tahoma" w:hAnsi="Tahoma"/>
          <w:i w:val="1"/>
          <w:sz w:val="28"/>
          <w:vertAlign w:val="superscript"/>
        </w:rPr>
        <w:t xml:space="preserve">                                                                                          </w:t>
      </w:r>
    </w:p>
    <w:p w14:paraId="38000000">
      <w:pPr>
        <w:ind w:firstLine="709"/>
        <w:jc w:val="both"/>
        <w:rPr>
          <w:rFonts w:ascii="Tahoma" w:hAnsi="Tahoma"/>
          <w:sz w:val="28"/>
        </w:rPr>
      </w:pPr>
    </w:p>
    <w:p w14:paraId="39000000">
      <w:pPr>
        <w:ind w:firstLine="720"/>
        <w:jc w:val="both"/>
        <w:rPr>
          <w:rFonts w:ascii="Tahoma" w:hAnsi="Tahoma"/>
          <w:sz w:val="28"/>
        </w:rPr>
      </w:pPr>
      <w:r>
        <w:rPr>
          <w:rFonts w:ascii="Tahoma" w:hAnsi="Tahoma"/>
          <w:sz w:val="28"/>
        </w:rPr>
        <w:t>В целях реализации Бюджетного кодекса РФ, в соответствии с Федеральным законом от</w:t>
      </w:r>
      <w:r>
        <w:rPr>
          <w:rFonts w:ascii="PT Astra Serif" w:hAnsi="PT Astra Serif"/>
          <w:b w:val="0"/>
          <w:color w:val="000000"/>
          <w:sz w:val="28"/>
        </w:rPr>
        <w:t xml:space="preserve"> 20.03.2025 № 33-ФЗ «Об общих принципах организации местного самоуправления в единой системе публичной власти»,</w:t>
      </w:r>
      <w:r>
        <w:rPr>
          <w:rFonts w:ascii="Tahoma" w:hAnsi="Tahoma"/>
          <w:sz w:val="28"/>
        </w:rPr>
        <w:t xml:space="preserve"> </w:t>
      </w:r>
      <w:r>
        <w:rPr>
          <w:rFonts w:ascii="Tahoma" w:hAnsi="Tahoma"/>
          <w:sz w:val="28"/>
        </w:rPr>
        <w:t>Федеральным законом</w:t>
      </w:r>
      <w:r>
        <w:rPr>
          <w:rFonts w:ascii="Tahoma" w:hAnsi="Tahoma"/>
          <w:sz w:val="28"/>
        </w:rPr>
        <w:fldChar w:fldCharType="begin"/>
      </w:r>
      <w:r>
        <w:rPr>
          <w:rFonts w:ascii="Tahoma" w:hAnsi="Tahoma"/>
          <w:sz w:val="28"/>
        </w:rPr>
        <w:instrText>HYPERLINK "garantF1://12082695.0"</w:instrText>
      </w:r>
      <w:r>
        <w:rPr>
          <w:rFonts w:ascii="Tahoma" w:hAnsi="Tahoma"/>
          <w:sz w:val="28"/>
        </w:rPr>
        <w:fldChar w:fldCharType="separate"/>
      </w:r>
      <w:r>
        <w:rPr>
          <w:rFonts w:ascii="Tahoma" w:hAnsi="Tahoma"/>
          <w:sz w:val="28"/>
        </w:rPr>
        <w:t xml:space="preserve"> от 07.12.2011 № 6-ФЗ «Об общих принципах организации и деятельности контрольно-счетных органов субъектов Российско</w:t>
      </w:r>
      <w:r>
        <w:rPr>
          <w:rFonts w:ascii="Tahoma" w:hAnsi="Tahoma"/>
          <w:sz w:val="28"/>
        </w:rPr>
        <w:t>й Федерации и муниципальных образований»</w:t>
      </w:r>
      <w:r>
        <w:rPr>
          <w:rFonts w:ascii="Tahoma" w:hAnsi="Tahoma"/>
          <w:sz w:val="28"/>
        </w:rPr>
        <w:fldChar w:fldCharType="end"/>
      </w:r>
      <w:r>
        <w:rPr>
          <w:rFonts w:ascii="Tahoma" w:hAnsi="Tahoma"/>
          <w:sz w:val="28"/>
        </w:rPr>
        <w:t xml:space="preserve">, Собрание Дергачевского муниципального района Саратовской области (далее – представительный орган муниципального района) в лице главы Дергачевского муниципального района </w:t>
      </w:r>
      <w:r>
        <w:rPr>
          <w:rFonts w:ascii="Tahoma" w:hAnsi="Tahoma"/>
          <w:sz w:val="28"/>
        </w:rPr>
        <w:t>Мурзакова</w:t>
      </w:r>
      <w:r>
        <w:rPr>
          <w:rFonts w:ascii="Tahoma" w:hAnsi="Tahoma"/>
          <w:sz w:val="28"/>
        </w:rPr>
        <w:t xml:space="preserve"> </w:t>
      </w:r>
      <w:r>
        <w:rPr>
          <w:rFonts w:ascii="Tahoma" w:hAnsi="Tahoma"/>
          <w:sz w:val="28"/>
        </w:rPr>
        <w:t>Сергея Николаевича, действующего</w:t>
      </w:r>
      <w:r>
        <w:rPr>
          <w:rFonts w:ascii="Tahoma" w:hAnsi="Tahoma"/>
          <w:sz w:val="28"/>
        </w:rPr>
        <w:t xml:space="preserve">  на основании Устава Дергачевского муниципального района Саратовской области, Контрольно-счетный орган Дергачевского муниципального района Саратовской области в лице________________________________ </w:t>
      </w:r>
      <w:r>
        <w:rPr>
          <w:rFonts w:ascii="Tahoma" w:hAnsi="Tahoma"/>
          <w:sz w:val="28"/>
        </w:rPr>
        <w:t>, действующего на основании Положения о Контр</w:t>
      </w:r>
      <w:r>
        <w:rPr>
          <w:rFonts w:ascii="Tahoma" w:hAnsi="Tahoma"/>
          <w:sz w:val="28"/>
        </w:rPr>
        <w:t>ольно-счетном органе Дергачевского муниципального района Саратовской области</w:t>
      </w:r>
      <w:r>
        <w:rPr>
          <w:rFonts w:ascii="Tahoma" w:hAnsi="Tahoma"/>
          <w:i w:val="1"/>
          <w:sz w:val="28"/>
          <w:vertAlign w:val="superscript"/>
        </w:rPr>
        <w:t xml:space="preserve"> </w:t>
      </w:r>
      <w:r>
        <w:rPr>
          <w:rFonts w:ascii="Tahoma" w:hAnsi="Tahoma"/>
          <w:sz w:val="28"/>
        </w:rPr>
        <w:t>и Совет Дергачевского  муниципального образования Дергачевского муниципального района Саратовской области</w:t>
      </w:r>
      <w:r>
        <w:rPr>
          <w:rFonts w:ascii="Tahoma" w:hAnsi="Tahoma"/>
          <w:i w:val="1"/>
          <w:sz w:val="28"/>
          <w:vertAlign w:val="superscript"/>
        </w:rPr>
        <w:t xml:space="preserve"> </w:t>
      </w:r>
      <w:r>
        <w:rPr>
          <w:rFonts w:ascii="Tahoma" w:hAnsi="Tahoma"/>
          <w:sz w:val="28"/>
        </w:rPr>
        <w:t xml:space="preserve">(далее - представительный орган поселения) в лице  И.О.главы Дергачевского </w:t>
      </w:r>
      <w:r>
        <w:rPr>
          <w:rFonts w:ascii="Tahoma" w:hAnsi="Tahoma"/>
          <w:sz w:val="28"/>
        </w:rPr>
        <w:t xml:space="preserve">муниципального образования  </w:t>
      </w:r>
      <w:r>
        <w:rPr>
          <w:rFonts w:ascii="Tahoma" w:hAnsi="Tahoma"/>
          <w:sz w:val="28"/>
        </w:rPr>
        <w:t>действующего на основании Устава Дергачевского  муниципального образования</w:t>
      </w:r>
      <w:r>
        <w:rPr>
          <w:rFonts w:ascii="Tahoma" w:hAnsi="Tahoma"/>
          <w:sz w:val="28"/>
        </w:rPr>
        <w:t xml:space="preserve"> Дергачевского муниципального района Саратовской области, </w:t>
      </w:r>
      <w:r>
        <w:rPr>
          <w:rFonts w:ascii="Tahoma" w:hAnsi="Tahoma"/>
          <w:sz w:val="28"/>
        </w:rPr>
        <w:t>далее именуемые «Стороны», заключили настоящее Соглашение во</w:t>
      </w:r>
      <w:r>
        <w:rPr>
          <w:rFonts w:ascii="Tahoma" w:hAnsi="Tahoma"/>
          <w:sz w:val="28"/>
        </w:rPr>
        <w:t xml:space="preserve"> исполнение решения представительного органа муниципального района от  №_____ и представительного органа поселения от  №_________ о нижеследующем.</w:t>
      </w:r>
    </w:p>
    <w:p w14:paraId="3A000000">
      <w:pPr>
        <w:ind/>
        <w:jc w:val="both"/>
        <w:rPr>
          <w:rFonts w:ascii="Tahoma" w:hAnsi="Tahoma"/>
          <w:sz w:val="28"/>
        </w:rPr>
      </w:pPr>
    </w:p>
    <w:p w14:paraId="3B000000">
      <w:pPr>
        <w:ind w:firstLine="540"/>
        <w:jc w:val="center"/>
        <w:rPr>
          <w:rFonts w:ascii="Tahoma" w:hAnsi="Tahoma"/>
          <w:b w:val="1"/>
          <w:sz w:val="28"/>
        </w:rPr>
      </w:pPr>
      <w:r>
        <w:rPr>
          <w:rFonts w:ascii="Tahoma" w:hAnsi="Tahoma"/>
          <w:b w:val="1"/>
          <w:sz w:val="28"/>
        </w:rPr>
        <w:t>1. Предмет Соглашения</w:t>
      </w:r>
    </w:p>
    <w:p w14:paraId="3C000000">
      <w:pPr>
        <w:ind w:firstLine="540"/>
        <w:jc w:val="both"/>
        <w:rPr>
          <w:rFonts w:ascii="Tahoma" w:hAnsi="Tahoma"/>
          <w:sz w:val="28"/>
        </w:rPr>
      </w:pPr>
      <w:r>
        <w:rPr>
          <w:rFonts w:ascii="Tahoma" w:hAnsi="Tahoma"/>
          <w:sz w:val="28"/>
        </w:rPr>
        <w:t>1.1. Предметом настоящего Соглашения является передача</w:t>
      </w:r>
      <w:r>
        <w:rPr>
          <w:rFonts w:ascii="Tahoma" w:hAnsi="Tahoma"/>
          <w:sz w:val="28"/>
        </w:rPr>
        <w:t xml:space="preserve"> Контрольно-счетному органу Дергачевского муниципального района Саратовской области (далее – контрольно-счетный орган района) полномочий контрольно-счетного органа Дергачевского муниципального образования (далее – контрольно-счетный орган поселения):</w:t>
      </w:r>
    </w:p>
    <w:p w14:paraId="3D000000">
      <w:pPr>
        <w:ind w:firstLine="709"/>
        <w:jc w:val="both"/>
        <w:rPr>
          <w:rFonts w:ascii="Tahoma" w:hAnsi="Tahoma"/>
          <w:sz w:val="28"/>
        </w:rPr>
      </w:pPr>
      <w:r>
        <w:rPr>
          <w:rFonts w:ascii="Tahoma" w:hAnsi="Tahoma"/>
          <w:sz w:val="28"/>
        </w:rPr>
        <w:t>1) организация и осуществление контроля за законностью и эффективностью использования средств местного бюджета, а также иных сре</w:t>
      </w:r>
      <w:r>
        <w:rPr>
          <w:rFonts w:ascii="Tahoma" w:hAnsi="Tahoma"/>
          <w:sz w:val="28"/>
        </w:rPr>
        <w:t>дств в сл</w:t>
      </w:r>
      <w:r>
        <w:rPr>
          <w:rFonts w:ascii="Tahoma" w:hAnsi="Tahoma"/>
          <w:sz w:val="28"/>
        </w:rPr>
        <w:t>учаях, предусмотренных законодательством Российской Федерации;</w:t>
      </w:r>
    </w:p>
    <w:p w14:paraId="3E000000">
      <w:pPr>
        <w:ind w:firstLine="709"/>
        <w:jc w:val="both"/>
        <w:rPr>
          <w:rFonts w:ascii="Tahoma" w:hAnsi="Tahoma"/>
          <w:sz w:val="28"/>
        </w:rPr>
      </w:pPr>
      <w:r>
        <w:rPr>
          <w:rFonts w:ascii="Tahoma" w:hAnsi="Tahoma"/>
          <w:sz w:val="28"/>
        </w:rPr>
        <w:t>2) экспертиза проектов местного бюджета, проверка и ана</w:t>
      </w:r>
      <w:r>
        <w:rPr>
          <w:rFonts w:ascii="Tahoma" w:hAnsi="Tahoma"/>
          <w:sz w:val="28"/>
        </w:rPr>
        <w:t>лиз обоснованности его показателей;</w:t>
      </w:r>
    </w:p>
    <w:p w14:paraId="3F000000">
      <w:pPr>
        <w:ind w:firstLine="709"/>
        <w:jc w:val="both"/>
        <w:rPr>
          <w:rFonts w:ascii="Tahoma" w:hAnsi="Tahoma"/>
          <w:sz w:val="28"/>
        </w:rPr>
      </w:pPr>
      <w:r>
        <w:rPr>
          <w:rFonts w:ascii="Tahoma" w:hAnsi="Tahoma"/>
          <w:sz w:val="28"/>
        </w:rPr>
        <w:t>3) внешняя проверка годового отчета об исполнении местного бюджета;</w:t>
      </w:r>
    </w:p>
    <w:p w14:paraId="40000000">
      <w:pPr>
        <w:ind w:firstLine="709"/>
        <w:jc w:val="both"/>
        <w:rPr>
          <w:sz w:val="28"/>
        </w:rPr>
      </w:pPr>
      <w:r>
        <w:rPr>
          <w:rFonts w:ascii="Tahoma" w:hAnsi="Tahoma"/>
          <w:sz w:val="28"/>
        </w:rPr>
        <w:t>4) проведение аудита в сфере закупок товаров, работ и услуг в соответствии с Федеральным</w:t>
      </w:r>
      <w:r>
        <w:rPr>
          <w:rFonts w:ascii="Tahoma" w:hAnsi="Tahoma"/>
          <w:color w:themeColor="text1" w:val="000000"/>
          <w:sz w:val="28"/>
        </w:rPr>
        <w:t> </w:t>
      </w:r>
      <w:r>
        <w:rPr>
          <w:rFonts w:ascii="Tahoma" w:hAnsi="Tahoma"/>
          <w:color w:themeColor="text1" w:val="000000"/>
          <w:sz w:val="28"/>
          <w:u w:val="single"/>
        </w:rPr>
        <w:fldChar w:fldCharType="begin"/>
      </w:r>
      <w:r>
        <w:rPr>
          <w:rFonts w:ascii="Tahoma" w:hAnsi="Tahoma"/>
          <w:color w:themeColor="text1" w:val="000000"/>
          <w:sz w:val="28"/>
          <w:u w:val="single"/>
        </w:rPr>
        <w:instrText>HYPERLINK "https://legalacts.ru/doc/44_FZ-o-kontraktnoj-sisteme/"</w:instrText>
      </w:r>
      <w:r>
        <w:rPr>
          <w:rFonts w:ascii="Tahoma" w:hAnsi="Tahoma"/>
          <w:color w:themeColor="text1" w:val="000000"/>
          <w:sz w:val="28"/>
          <w:u w:val="single"/>
        </w:rPr>
        <w:fldChar w:fldCharType="separate"/>
      </w:r>
      <w:r>
        <w:rPr>
          <w:rFonts w:ascii="Tahoma" w:hAnsi="Tahoma"/>
          <w:color w:themeColor="text1" w:val="000000"/>
          <w:sz w:val="28"/>
          <w:u w:val="single"/>
        </w:rPr>
        <w:t>законом</w:t>
      </w:r>
      <w:r>
        <w:rPr>
          <w:rFonts w:ascii="Tahoma" w:hAnsi="Tahoma"/>
          <w:color w:themeColor="text1" w:val="000000"/>
          <w:sz w:val="28"/>
          <w:u w:val="single"/>
        </w:rPr>
        <w:fldChar w:fldCharType="end"/>
      </w:r>
      <w:r>
        <w:rPr>
          <w:rFonts w:ascii="Tahoma" w:hAnsi="Tahoma"/>
          <w:color w:themeColor="text1" w:val="000000"/>
          <w:sz w:val="28"/>
        </w:rPr>
        <w:t> </w:t>
      </w:r>
      <w:r>
        <w:rPr>
          <w:rFonts w:ascii="Tahoma" w:hAnsi="Tahoma"/>
          <w:sz w:val="28"/>
        </w:rPr>
        <w:t xml:space="preserve">от 5 апреля 2013 года N 44-ФЗ "О контрактной системе в сфере закупок товаров, работ, услуг для обеспечения </w:t>
      </w:r>
      <w:r>
        <w:rPr>
          <w:sz w:val="28"/>
        </w:rPr>
        <w:t>государственных и муниципальных нужд";</w:t>
      </w:r>
    </w:p>
    <w:p w14:paraId="41000000">
      <w:pPr>
        <w:ind w:firstLine="709"/>
        <w:jc w:val="both"/>
        <w:rPr>
          <w:sz w:val="28"/>
        </w:rPr>
      </w:pPr>
      <w:r>
        <w:rPr>
          <w:sz w:val="28"/>
        </w:rPr>
        <w:t>5) оценка эффективности формирования муниципальной собственности, управления и распоряжения такой</w:t>
      </w:r>
      <w:r>
        <w:rPr>
          <w:sz w:val="28"/>
        </w:rPr>
        <w:t xml:space="preserve"> собственностью и </w:t>
      </w:r>
      <w:r>
        <w:rPr>
          <w:sz w:val="28"/>
        </w:rPr>
        <w:t>контроль за</w:t>
      </w:r>
      <w:r>
        <w:rPr>
          <w:sz w:val="28"/>
        </w:rPr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14:paraId="42000000">
      <w:pPr>
        <w:ind w:firstLine="709"/>
        <w:jc w:val="both"/>
        <w:rPr>
          <w:sz w:val="28"/>
        </w:rPr>
      </w:pPr>
      <w:r>
        <w:rPr>
          <w:sz w:val="28"/>
        </w:rPr>
        <w:t>6) оценка эффективности предоставл</w:t>
      </w:r>
      <w:r>
        <w:rPr>
          <w:sz w:val="28"/>
        </w:rPr>
        <w:t>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</w:t>
      </w:r>
      <w:r>
        <w:rPr>
          <w:sz w:val="28"/>
        </w:rPr>
        <w:t>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 w14:paraId="43000000">
      <w:pPr>
        <w:ind w:firstLine="709"/>
        <w:jc w:val="both"/>
        <w:rPr>
          <w:sz w:val="28"/>
        </w:rPr>
      </w:pPr>
      <w:r>
        <w:rPr>
          <w:sz w:val="28"/>
        </w:rPr>
        <w:t>7) экспертиза проектов муниципальных правовых актов в части, касающейся расходных обязательств муниципальног</w:t>
      </w:r>
      <w:r>
        <w:rPr>
          <w:sz w:val="28"/>
        </w:rPr>
        <w:t>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14:paraId="44000000">
      <w:pPr>
        <w:ind w:firstLine="709"/>
        <w:jc w:val="both"/>
        <w:rPr>
          <w:sz w:val="28"/>
        </w:rPr>
      </w:pPr>
      <w:r>
        <w:rPr>
          <w:sz w:val="28"/>
        </w:rPr>
        <w:t>8) анализ и мониторинг бюджетного процесса в муниципальном образовании, в то</w:t>
      </w:r>
      <w:r>
        <w:rPr>
          <w:sz w:val="28"/>
        </w:rPr>
        <w:t>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14:paraId="45000000">
      <w:pPr>
        <w:ind w:firstLine="709"/>
        <w:jc w:val="both"/>
        <w:rPr>
          <w:sz w:val="28"/>
        </w:rPr>
      </w:pPr>
      <w:r>
        <w:rPr>
          <w:sz w:val="28"/>
        </w:rPr>
        <w:t xml:space="preserve">9) проведение оперативного анализа исполнения и </w:t>
      </w:r>
      <w:r>
        <w:rPr>
          <w:sz w:val="28"/>
        </w:rPr>
        <w:t>контроля за</w:t>
      </w:r>
      <w:r>
        <w:rPr>
          <w:sz w:val="28"/>
        </w:rPr>
        <w:t xml:space="preserve"> организацией исполнения местного бюдже</w:t>
      </w:r>
      <w:r>
        <w:rPr>
          <w:sz w:val="28"/>
        </w:rPr>
        <w:t>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представительный орган муниципального образования и главе муниципального</w:t>
      </w:r>
      <w:r>
        <w:rPr>
          <w:sz w:val="28"/>
        </w:rPr>
        <w:t xml:space="preserve"> образования;</w:t>
      </w:r>
    </w:p>
    <w:p w14:paraId="46000000">
      <w:pPr>
        <w:ind w:firstLine="709"/>
        <w:jc w:val="both"/>
        <w:rPr>
          <w:sz w:val="28"/>
        </w:rPr>
      </w:pPr>
      <w:r>
        <w:rPr>
          <w:sz w:val="28"/>
        </w:rPr>
        <w:t xml:space="preserve">10) осуществление </w:t>
      </w:r>
      <w:r>
        <w:rPr>
          <w:sz w:val="28"/>
        </w:rPr>
        <w:t>контроля за</w:t>
      </w:r>
      <w:r>
        <w:rPr>
          <w:sz w:val="28"/>
        </w:rPr>
        <w:t xml:space="preserve"> состоянием муниципального внутреннего и внешнего долга;</w:t>
      </w:r>
    </w:p>
    <w:p w14:paraId="47000000">
      <w:pPr>
        <w:ind w:firstLine="709"/>
        <w:jc w:val="both"/>
        <w:rPr>
          <w:sz w:val="28"/>
        </w:rPr>
      </w:pPr>
      <w:r>
        <w:rPr>
          <w:sz w:val="28"/>
        </w:rPr>
        <w:t>11) 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</w:t>
      </w:r>
      <w:r>
        <w:rPr>
          <w:sz w:val="28"/>
        </w:rPr>
        <w:t>ратегического планирования муниципального образования, в пределах компетенции контрольно-счетного органа муниципального образования;</w:t>
      </w:r>
    </w:p>
    <w:p w14:paraId="48000000">
      <w:pPr>
        <w:ind w:firstLine="709"/>
        <w:jc w:val="both"/>
        <w:rPr>
          <w:sz w:val="28"/>
        </w:rPr>
      </w:pPr>
      <w:r>
        <w:rPr>
          <w:sz w:val="28"/>
        </w:rPr>
        <w:t>12) участие в пределах полномочий в мероприятиях, направленных на противодействие коррупции;</w:t>
      </w:r>
    </w:p>
    <w:p w14:paraId="49000000">
      <w:pPr>
        <w:ind w:firstLine="709"/>
        <w:jc w:val="both"/>
        <w:rPr>
          <w:sz w:val="28"/>
        </w:rPr>
      </w:pPr>
      <w:r>
        <w:rPr>
          <w:sz w:val="28"/>
        </w:rPr>
        <w:t>13) иные полномочия в сфере вн</w:t>
      </w:r>
      <w:r>
        <w:rPr>
          <w:sz w:val="28"/>
        </w:rPr>
        <w:t>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представительного органа муниципального образования.</w:t>
      </w:r>
    </w:p>
    <w:p w14:paraId="4A000000">
      <w:pPr>
        <w:ind w:firstLine="540"/>
        <w:jc w:val="both"/>
        <w:rPr>
          <w:sz w:val="28"/>
        </w:rPr>
      </w:pPr>
    </w:p>
    <w:p w14:paraId="4B000000">
      <w:pPr>
        <w:keepNext w:val="1"/>
        <w:ind w:firstLine="0" w:left="709"/>
        <w:jc w:val="both"/>
        <w:rPr>
          <w:b w:val="1"/>
          <w:spacing w:val="-2"/>
          <w:sz w:val="28"/>
        </w:rPr>
      </w:pPr>
      <w:r>
        <w:rPr>
          <w:b w:val="1"/>
          <w:spacing w:val="-2"/>
          <w:sz w:val="28"/>
        </w:rPr>
        <w:t>2. Предоставление ежегодного объема межбю</w:t>
      </w:r>
      <w:r>
        <w:rPr>
          <w:b w:val="1"/>
          <w:spacing w:val="-2"/>
          <w:sz w:val="28"/>
        </w:rPr>
        <w:t>джетных трансфертов</w:t>
      </w:r>
    </w:p>
    <w:p w14:paraId="4C000000">
      <w:pPr>
        <w:ind w:firstLine="709"/>
        <w:jc w:val="both"/>
        <w:rPr>
          <w:sz w:val="28"/>
        </w:rPr>
      </w:pPr>
      <w:r>
        <w:rPr>
          <w:sz w:val="28"/>
        </w:rPr>
        <w:t>2.1. Объем межбюджетных трансфертов на первый год действия Соглашения,  устанавливается в размере 26,3 тыс. рублей.</w:t>
      </w:r>
    </w:p>
    <w:p w14:paraId="4D000000">
      <w:pPr>
        <w:ind w:firstLine="709"/>
        <w:jc w:val="both"/>
        <w:rPr>
          <w:sz w:val="28"/>
        </w:rPr>
      </w:pPr>
      <w:r>
        <w:rPr>
          <w:sz w:val="28"/>
        </w:rPr>
        <w:t>2.2. Межбюджетные трансферты перечисляются двумя частями в сроки до 1юня 2026г. (не менее 1/2 годового объема межбюджетны</w:t>
      </w:r>
      <w:r>
        <w:rPr>
          <w:sz w:val="28"/>
        </w:rPr>
        <w:t xml:space="preserve">х трансфертов) и до 1 </w:t>
      </w:r>
      <w:r>
        <w:rPr>
          <w:sz w:val="28"/>
        </w:rPr>
        <w:t>октября 2026г. (оставшаяся часть межбюджетных трансфертов). Дополнительный объем межбюджетных трансфертов перечисляется в сроки, установленные дополнительным Соглашением.</w:t>
      </w:r>
    </w:p>
    <w:p w14:paraId="4E000000">
      <w:pPr>
        <w:ind w:firstLine="708"/>
        <w:jc w:val="both"/>
        <w:rPr>
          <w:sz w:val="28"/>
        </w:rPr>
      </w:pPr>
      <w:r>
        <w:rPr>
          <w:sz w:val="28"/>
        </w:rPr>
        <w:t>2.3. Расходы бюджета поселения на предоставление межбюджетных т</w:t>
      </w:r>
      <w:r>
        <w:rPr>
          <w:sz w:val="28"/>
        </w:rPr>
        <w:t>рансфертов и расходы бюджета муниципального района, осуществляемые за счет межбюджетных трансфертов, планируются и исполняются по соответствующему разделу бюджетной классификации</w:t>
      </w:r>
    </w:p>
    <w:p w14:paraId="4F000000">
      <w:pPr>
        <w:ind w:firstLine="708"/>
        <w:jc w:val="both"/>
        <w:rPr>
          <w:sz w:val="28"/>
        </w:rPr>
      </w:pPr>
      <w:r>
        <w:rPr>
          <w:sz w:val="28"/>
        </w:rPr>
        <w:t xml:space="preserve">2.4. Межбюджетные трансферты зачисляются в бюджет муниципального района по </w:t>
      </w:r>
      <w:r>
        <w:rPr>
          <w:sz w:val="28"/>
        </w:rPr>
        <w:t xml:space="preserve">соответствующему коду бюджетной классификации доходов. </w:t>
      </w:r>
    </w:p>
    <w:p w14:paraId="50000000">
      <w:pPr>
        <w:keepNext w:val="1"/>
        <w:spacing w:before="120"/>
        <w:ind w:firstLine="0" w:left="709"/>
        <w:jc w:val="center"/>
        <w:rPr>
          <w:b w:val="1"/>
          <w:spacing w:val="-2"/>
          <w:sz w:val="28"/>
        </w:rPr>
      </w:pPr>
      <w:r>
        <w:rPr>
          <w:b w:val="1"/>
          <w:spacing w:val="-2"/>
          <w:sz w:val="28"/>
        </w:rPr>
        <w:t>3. Права и обязанности сторон</w:t>
      </w:r>
    </w:p>
    <w:p w14:paraId="51000000">
      <w:pPr>
        <w:ind w:firstLine="720"/>
        <w:jc w:val="both"/>
        <w:rPr>
          <w:sz w:val="28"/>
          <w:vertAlign w:val="superscript"/>
        </w:rPr>
      </w:pPr>
      <w:r>
        <w:rPr>
          <w:sz w:val="28"/>
        </w:rPr>
        <w:t>3.1.Представительный орган муниципального района:</w:t>
      </w:r>
    </w:p>
    <w:p w14:paraId="52000000">
      <w:pPr>
        <w:ind w:firstLine="720"/>
        <w:jc w:val="both"/>
        <w:rPr>
          <w:sz w:val="28"/>
        </w:rPr>
      </w:pPr>
      <w:r>
        <w:rPr>
          <w:sz w:val="28"/>
        </w:rPr>
        <w:t>3.1.1 устанавливает в муниципальных правовых актах полномочия контрольно-счетного органа района по осуществлению предусм</w:t>
      </w:r>
      <w:r>
        <w:rPr>
          <w:sz w:val="28"/>
        </w:rPr>
        <w:t>отренных настоящим Соглашением полномочий;</w:t>
      </w:r>
    </w:p>
    <w:p w14:paraId="53000000">
      <w:pPr>
        <w:ind w:firstLine="720"/>
        <w:jc w:val="both"/>
        <w:rPr>
          <w:sz w:val="28"/>
        </w:rPr>
      </w:pPr>
      <w:r>
        <w:rPr>
          <w:sz w:val="28"/>
        </w:rPr>
        <w:t>3.1.2 устанавливает штатную численность контрольно-счетного органа района с учетом необходимости осуществления предусмотренных настоящим Соглашением полномочий;</w:t>
      </w:r>
    </w:p>
    <w:p w14:paraId="54000000">
      <w:pPr>
        <w:ind w:firstLine="720"/>
        <w:jc w:val="both"/>
        <w:rPr>
          <w:sz w:val="28"/>
        </w:rPr>
      </w:pPr>
      <w:r>
        <w:rPr>
          <w:sz w:val="28"/>
        </w:rPr>
        <w:t>3.1.3 может устанавливать случаи и порядок использов</w:t>
      </w:r>
      <w:r>
        <w:rPr>
          <w:sz w:val="28"/>
        </w:rPr>
        <w:t>ания собственных материальных ресурсов и финансовых средств муниципального района для осуществления,  предусмотренных настоящим Соглашением полномочий;</w:t>
      </w:r>
    </w:p>
    <w:p w14:paraId="55000000">
      <w:pPr>
        <w:ind w:firstLine="720"/>
        <w:jc w:val="both"/>
        <w:rPr>
          <w:sz w:val="28"/>
        </w:rPr>
      </w:pPr>
      <w:r>
        <w:rPr>
          <w:sz w:val="28"/>
        </w:rPr>
        <w:t>3.1.4 получает от контрольно-счетного органа района информацию об осуществлении предусмотренных настоящи</w:t>
      </w:r>
      <w:r>
        <w:rPr>
          <w:sz w:val="28"/>
        </w:rPr>
        <w:t>м Соглашением полномочий и результатах проведенных контрольных и экспертно-аналитических мероприятиях.</w:t>
      </w:r>
    </w:p>
    <w:p w14:paraId="56000000">
      <w:pPr>
        <w:ind w:firstLine="0" w:left="900"/>
        <w:jc w:val="both"/>
        <w:rPr>
          <w:sz w:val="28"/>
        </w:rPr>
      </w:pPr>
      <w:r>
        <w:rPr>
          <w:sz w:val="28"/>
        </w:rPr>
        <w:t>3.2. Контрольно-счетный орган  района:</w:t>
      </w:r>
    </w:p>
    <w:p w14:paraId="57000000">
      <w:pPr>
        <w:ind w:firstLine="900"/>
        <w:jc w:val="both"/>
        <w:rPr>
          <w:sz w:val="28"/>
        </w:rPr>
      </w:pPr>
      <w:r>
        <w:rPr>
          <w:sz w:val="28"/>
        </w:rPr>
        <w:t>3.2.1 включает в планы своей работы:</w:t>
      </w:r>
    </w:p>
    <w:p w14:paraId="58000000">
      <w:pPr>
        <w:ind w:firstLine="900"/>
        <w:jc w:val="both"/>
        <w:rPr>
          <w:sz w:val="28"/>
        </w:rPr>
      </w:pPr>
      <w:r>
        <w:rPr>
          <w:sz w:val="28"/>
        </w:rPr>
        <w:t xml:space="preserve">ежегодно - внешнюю проверку годового отчета об исполнении бюджета поселения </w:t>
      </w:r>
    </w:p>
    <w:p w14:paraId="59000000">
      <w:pPr>
        <w:ind w:firstLine="900"/>
        <w:jc w:val="both"/>
        <w:rPr>
          <w:sz w:val="28"/>
        </w:rPr>
      </w:pPr>
      <w:r>
        <w:rPr>
          <w:sz w:val="28"/>
        </w:rPr>
        <w:t xml:space="preserve">3.2.2 для подготовки к внешней проверке годового отчета об исполнении бюджета поселения имеет право в течение соответствующего года осуществлять 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бюджета поселения и использованием средств бюджета поселения;</w:t>
      </w:r>
    </w:p>
    <w:p w14:paraId="5A000000">
      <w:pPr>
        <w:ind w:firstLine="900"/>
        <w:jc w:val="both"/>
        <w:rPr>
          <w:sz w:val="28"/>
        </w:rPr>
      </w:pPr>
      <w:r>
        <w:rPr>
          <w:sz w:val="28"/>
        </w:rPr>
        <w:t>3.2.3 определяет формы, ц</w:t>
      </w:r>
      <w:r>
        <w:rPr>
          <w:sz w:val="28"/>
        </w:rPr>
        <w:t>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контроля;</w:t>
      </w:r>
    </w:p>
    <w:p w14:paraId="5B000000">
      <w:pPr>
        <w:ind w:firstLine="900"/>
        <w:jc w:val="both"/>
        <w:rPr>
          <w:sz w:val="28"/>
        </w:rPr>
      </w:pPr>
      <w:r>
        <w:rPr>
          <w:sz w:val="28"/>
        </w:rPr>
        <w:t>3.2.4 направляет отчеты и заключения по результатам п</w:t>
      </w:r>
      <w:r>
        <w:rPr>
          <w:sz w:val="28"/>
        </w:rPr>
        <w:t>роведенных мероприятий представительному органу поселения, вправе направлять указанные материалы иным органам местного самоуправления поселения;</w:t>
      </w:r>
    </w:p>
    <w:p w14:paraId="5C000000">
      <w:pPr>
        <w:ind w:firstLine="900"/>
        <w:jc w:val="both"/>
        <w:rPr>
          <w:sz w:val="28"/>
        </w:rPr>
      </w:pPr>
      <w:r>
        <w:rPr>
          <w:sz w:val="28"/>
        </w:rPr>
        <w:t xml:space="preserve">3.2.5 размещает информацию о проведенных мероприятиях на официальном сайте Дергачевского муниципального района </w:t>
      </w:r>
      <w:r>
        <w:rPr>
          <w:sz w:val="28"/>
        </w:rPr>
        <w:t>в сети «Интернет»;</w:t>
      </w:r>
    </w:p>
    <w:p w14:paraId="5D000000">
      <w:pPr>
        <w:ind w:firstLine="900"/>
        <w:jc w:val="both"/>
        <w:rPr>
          <w:sz w:val="28"/>
        </w:rPr>
      </w:pPr>
      <w:r>
        <w:rPr>
          <w:sz w:val="28"/>
        </w:rPr>
        <w:t>3.2.6 направляет представления и предписания администрации поселения, другим проверяемым органам и организациям, принимает другие предусмотренные законодательством меры по устранению и предотвращению выявляемых нарушений;</w:t>
      </w:r>
    </w:p>
    <w:p w14:paraId="5E000000">
      <w:pPr>
        <w:ind w:firstLine="900"/>
        <w:jc w:val="both"/>
        <w:rPr>
          <w:sz w:val="28"/>
        </w:rPr>
      </w:pPr>
      <w:r>
        <w:rPr>
          <w:sz w:val="28"/>
        </w:rPr>
        <w:t>3.2.7 при выявл</w:t>
      </w:r>
      <w:r>
        <w:rPr>
          <w:sz w:val="28"/>
        </w:rPr>
        <w:t>ении возможностей по совершенствованию бюджетного процесса, системы управления и распоряжения имуществом, находящимся в собственности поселения, вправе направлять органам местного самоуправления поселения соответствующие предложения;</w:t>
      </w:r>
    </w:p>
    <w:p w14:paraId="5F000000">
      <w:pPr>
        <w:ind w:firstLine="900"/>
        <w:jc w:val="both"/>
        <w:rPr>
          <w:sz w:val="28"/>
        </w:rPr>
      </w:pPr>
      <w:r>
        <w:rPr>
          <w:sz w:val="28"/>
        </w:rPr>
        <w:t>3.2.8 в случае возникн</w:t>
      </w:r>
      <w:r>
        <w:rPr>
          <w:sz w:val="28"/>
        </w:rPr>
        <w:t>овения препятствий для осуществления предусмотренных настоящим Соглашением полномочий может обращаться в представительный орган поселения  с предложениями по их устранению;</w:t>
      </w:r>
    </w:p>
    <w:p w14:paraId="60000000">
      <w:pPr>
        <w:ind w:firstLine="900"/>
        <w:jc w:val="both"/>
        <w:rPr>
          <w:sz w:val="28"/>
        </w:rPr>
      </w:pPr>
      <w:r>
        <w:rPr>
          <w:sz w:val="28"/>
        </w:rPr>
        <w:t>3.2.9 обеспечивает использование сре</w:t>
      </w:r>
      <w:r>
        <w:rPr>
          <w:sz w:val="28"/>
        </w:rPr>
        <w:t>дств пр</w:t>
      </w:r>
      <w:r>
        <w:rPr>
          <w:sz w:val="28"/>
        </w:rPr>
        <w:t>едусмотренных настоящим Соглашением межб</w:t>
      </w:r>
      <w:r>
        <w:rPr>
          <w:sz w:val="28"/>
        </w:rPr>
        <w:t>юджетных трансфертов исключительно на оплату труда своих работников с начислениями и материально-техническое обеспечение своей деятельности;</w:t>
      </w:r>
    </w:p>
    <w:p w14:paraId="61000000">
      <w:pPr>
        <w:ind w:firstLine="900"/>
        <w:jc w:val="both"/>
        <w:rPr>
          <w:sz w:val="28"/>
        </w:rPr>
      </w:pPr>
      <w:r>
        <w:rPr>
          <w:sz w:val="28"/>
        </w:rPr>
        <w:t>3.2.10 имеет право использовать средства предусмотренных настоящим Соглашением межбюджетных трансфертов на компенса</w:t>
      </w:r>
      <w:r>
        <w:rPr>
          <w:sz w:val="28"/>
        </w:rPr>
        <w:t>цию расходов, осуществленных до поступления межбюджетных трансфертов в бюджет муниципального района;</w:t>
      </w:r>
    </w:p>
    <w:p w14:paraId="62000000">
      <w:pPr>
        <w:ind w:firstLine="900"/>
        <w:jc w:val="both"/>
        <w:rPr>
          <w:sz w:val="28"/>
        </w:rPr>
      </w:pPr>
      <w:r>
        <w:rPr>
          <w:sz w:val="28"/>
        </w:rPr>
        <w:t>3.2.11 обеспечивает предоставление представительному органу поселения, ежегодных отчетов об использовании предусмотренных настоящим Соглашением межбюджетны</w:t>
      </w:r>
      <w:r>
        <w:rPr>
          <w:sz w:val="28"/>
        </w:rPr>
        <w:t>х трансфертов в срок до 20 числа месяца, следующего за отчетным периодом;</w:t>
      </w:r>
    </w:p>
    <w:p w14:paraId="63000000">
      <w:pPr>
        <w:ind w:firstLine="900"/>
        <w:jc w:val="both"/>
        <w:rPr>
          <w:sz w:val="28"/>
        </w:rPr>
      </w:pPr>
      <w:r>
        <w:rPr>
          <w:sz w:val="28"/>
        </w:rPr>
        <w:t>3.2.12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межбюджет</w:t>
      </w:r>
      <w:r>
        <w:rPr>
          <w:sz w:val="28"/>
        </w:rPr>
        <w:t>ных трансфертов в бюджет муниципального района.</w:t>
      </w:r>
    </w:p>
    <w:p w14:paraId="64000000">
      <w:pPr>
        <w:ind w:firstLine="900"/>
        <w:jc w:val="both"/>
        <w:rPr>
          <w:sz w:val="28"/>
        </w:rPr>
      </w:pPr>
      <w:r>
        <w:rPr>
          <w:sz w:val="28"/>
        </w:rPr>
        <w:t>3.3. Представительный орган поселения:</w:t>
      </w:r>
    </w:p>
    <w:p w14:paraId="65000000">
      <w:pPr>
        <w:ind w:firstLine="900"/>
        <w:jc w:val="both"/>
        <w:rPr>
          <w:sz w:val="28"/>
        </w:rPr>
      </w:pPr>
      <w:r>
        <w:rPr>
          <w:sz w:val="28"/>
        </w:rPr>
        <w:t>3.3.1 утверждает в решении о бюджете поселения межбюджетные трансферты бюджету муниципального района на осуществление переданных полномочий в объеме, определенном в соот</w:t>
      </w:r>
      <w:r>
        <w:rPr>
          <w:sz w:val="28"/>
        </w:rPr>
        <w:t>ветствии с предусмотренным настоящим Соглашением порядком, и обеспечивает их перечисление в бюджет муниципального района;</w:t>
      </w:r>
    </w:p>
    <w:p w14:paraId="66000000">
      <w:pPr>
        <w:ind w:firstLine="900"/>
        <w:jc w:val="both"/>
        <w:rPr>
          <w:sz w:val="28"/>
        </w:rPr>
      </w:pPr>
      <w:r>
        <w:rPr>
          <w:sz w:val="28"/>
        </w:rPr>
        <w:t>3.3.2 рассматривает отчеты и заключения, а также предложения контрольно-счетного органа района по результатам проведения контрольных и</w:t>
      </w:r>
      <w:r>
        <w:rPr>
          <w:sz w:val="28"/>
        </w:rPr>
        <w:t xml:space="preserve"> экспертно-аналитических мероприятий;</w:t>
      </w:r>
    </w:p>
    <w:p w14:paraId="67000000">
      <w:pPr>
        <w:ind w:firstLine="900"/>
        <w:jc w:val="both"/>
        <w:rPr>
          <w:sz w:val="28"/>
        </w:rPr>
      </w:pPr>
      <w:r>
        <w:rPr>
          <w:sz w:val="28"/>
        </w:rPr>
        <w:t>3.3.3 имеет право опубликовывать информацию о проведенных мероприятиях в средствах массовой информации, направлять отчеты и заключения контрольно-счетного органа района третьим лицам;</w:t>
      </w:r>
    </w:p>
    <w:p w14:paraId="68000000">
      <w:pPr>
        <w:ind w:firstLine="900"/>
        <w:jc w:val="both"/>
        <w:rPr>
          <w:sz w:val="28"/>
        </w:rPr>
      </w:pPr>
      <w:r>
        <w:rPr>
          <w:sz w:val="28"/>
        </w:rPr>
        <w:t xml:space="preserve">3.3.4 рассматривает обращения </w:t>
      </w:r>
      <w:r>
        <w:rPr>
          <w:sz w:val="28"/>
        </w:rPr>
        <w:t>контрольно-счетного органа района по поводу устранения препятствий для выполнения предусмотренных настоящим Соглашением полномочий, принимает необходимые для их устранения муниципальные правовые акты;</w:t>
      </w:r>
    </w:p>
    <w:p w14:paraId="69000000">
      <w:pPr>
        <w:ind w:firstLine="900"/>
        <w:jc w:val="both"/>
        <w:rPr>
          <w:sz w:val="28"/>
        </w:rPr>
      </w:pPr>
      <w:r>
        <w:rPr>
          <w:sz w:val="28"/>
        </w:rPr>
        <w:t xml:space="preserve">3.3.5 получает отчеты об использовании предусмотренных </w:t>
      </w:r>
      <w:r>
        <w:rPr>
          <w:sz w:val="28"/>
        </w:rPr>
        <w:t>настоящим Соглашением межбюджетных трансфертов и информацию об осуществлении предусмотренных настоящим Соглашением полномочий;</w:t>
      </w:r>
    </w:p>
    <w:p w14:paraId="6A000000">
      <w:pPr>
        <w:ind w:firstLine="900"/>
        <w:jc w:val="both"/>
        <w:rPr>
          <w:sz w:val="28"/>
        </w:rPr>
      </w:pPr>
      <w:r>
        <w:rPr>
          <w:sz w:val="28"/>
        </w:rPr>
        <w:t>3.3.6 имеет право приостановить перечисление предусмотренных настоящим Соглашением межбюджетных трансфертов в случае невыполнения</w:t>
      </w:r>
      <w:r>
        <w:rPr>
          <w:sz w:val="28"/>
        </w:rPr>
        <w:t xml:space="preserve">  контрольно-счетным органом района своих обязательств.</w:t>
      </w:r>
    </w:p>
    <w:p w14:paraId="6B000000">
      <w:pPr>
        <w:ind w:firstLine="900"/>
        <w:jc w:val="both"/>
        <w:rPr>
          <w:sz w:val="28"/>
        </w:rPr>
      </w:pPr>
      <w:r>
        <w:rPr>
          <w:sz w:val="28"/>
        </w:rPr>
        <w:t>3.4. Стороны имеют право принимать иные меры, необходимые для реализации настоящего Соглашения.</w:t>
      </w:r>
    </w:p>
    <w:p w14:paraId="6C000000">
      <w:pPr>
        <w:ind w:firstLine="900"/>
        <w:jc w:val="both"/>
        <w:rPr>
          <w:sz w:val="28"/>
        </w:rPr>
      </w:pPr>
    </w:p>
    <w:p w14:paraId="6D000000">
      <w:pPr>
        <w:spacing w:after="0" w:line="24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4. В целях реализации пункта 1 настоящего Соглашения Стороны обязуются:</w:t>
      </w:r>
    </w:p>
    <w:p w14:paraId="6E000000">
      <w:pPr>
        <w:spacing w:after="0" w:line="240" w:lineRule="auto"/>
        <w:ind w:firstLine="708"/>
        <w:jc w:val="both"/>
        <w:rPr>
          <w:sz w:val="28"/>
        </w:rPr>
      </w:pPr>
      <w:r>
        <w:rPr>
          <w:sz w:val="28"/>
        </w:rPr>
        <w:t xml:space="preserve">4.1 </w:t>
      </w:r>
      <w:r>
        <w:rPr>
          <w:b w:val="1"/>
          <w:sz w:val="28"/>
        </w:rPr>
        <w:t xml:space="preserve">«Поселение» </w:t>
      </w:r>
      <w:r>
        <w:rPr>
          <w:sz w:val="28"/>
        </w:rPr>
        <w:t xml:space="preserve"> </w:t>
      </w:r>
    </w:p>
    <w:p w14:paraId="6F000000">
      <w:pPr>
        <w:spacing w:after="0" w:line="240" w:lineRule="auto"/>
        <w:ind/>
        <w:jc w:val="both"/>
        <w:rPr>
          <w:b w:val="1"/>
          <w:sz w:val="28"/>
        </w:rPr>
      </w:pPr>
      <w:r>
        <w:rPr>
          <w:sz w:val="28"/>
        </w:rPr>
        <w:t>4.1.1</w:t>
      </w:r>
      <w:r>
        <w:rPr>
          <w:sz w:val="28"/>
        </w:rPr>
        <w:t xml:space="preserve"> П</w:t>
      </w:r>
      <w:r>
        <w:rPr>
          <w:sz w:val="28"/>
        </w:rPr>
        <w:t>еречис</w:t>
      </w:r>
      <w:r>
        <w:rPr>
          <w:sz w:val="28"/>
        </w:rPr>
        <w:t xml:space="preserve">ляет межбюджетные трансферты передаваемые бюджету Дергачевского муниципального района из бюджета Дергачевского </w:t>
      </w:r>
      <w:r>
        <w:rPr>
          <w:sz w:val="28"/>
        </w:rPr>
        <w:t xml:space="preserve">муниципального образования  на осуществления и полномочия по решению вопроса указанного в п. 1 </w:t>
      </w:r>
      <w:r>
        <w:rPr>
          <w:b w:val="0"/>
          <w:sz w:val="28"/>
        </w:rPr>
        <w:t>26,3 тыс.руб.</w:t>
      </w:r>
    </w:p>
    <w:p w14:paraId="70000000">
      <w:pPr>
        <w:spacing w:after="0" w:line="240" w:lineRule="auto"/>
        <w:ind/>
        <w:jc w:val="both"/>
        <w:rPr>
          <w:sz w:val="28"/>
        </w:rPr>
      </w:pPr>
      <w:r>
        <w:rPr>
          <w:sz w:val="28"/>
        </w:rPr>
        <w:t xml:space="preserve">4.1.2. Представляет </w:t>
      </w:r>
      <w:r>
        <w:rPr>
          <w:sz w:val="28"/>
        </w:rPr>
        <w:t>контрольно</w:t>
      </w:r>
      <w:r>
        <w:rPr>
          <w:sz w:val="28"/>
        </w:rPr>
        <w:t xml:space="preserve"> </w:t>
      </w:r>
      <w:r>
        <w:rPr>
          <w:sz w:val="28"/>
        </w:rPr>
        <w:t>–с</w:t>
      </w:r>
      <w:r>
        <w:rPr>
          <w:sz w:val="28"/>
        </w:rPr>
        <w:t>чет</w:t>
      </w:r>
      <w:r>
        <w:rPr>
          <w:sz w:val="28"/>
        </w:rPr>
        <w:t xml:space="preserve">ному органу Дергачевского муниципального района </w:t>
      </w:r>
      <w:r>
        <w:rPr>
          <w:b w:val="1"/>
          <w:sz w:val="28"/>
        </w:rPr>
        <w:t xml:space="preserve"> </w:t>
      </w:r>
      <w:r>
        <w:rPr>
          <w:sz w:val="28"/>
        </w:rPr>
        <w:t>необходимую документацию и информацию относящуюся к предмету настоящего Соглашения.</w:t>
      </w:r>
    </w:p>
    <w:p w14:paraId="71000000">
      <w:pPr>
        <w:spacing w:after="0" w:line="240" w:lineRule="auto"/>
        <w:ind/>
        <w:jc w:val="both"/>
        <w:rPr>
          <w:sz w:val="28"/>
        </w:rPr>
      </w:pPr>
      <w:r>
        <w:rPr>
          <w:sz w:val="28"/>
        </w:rPr>
        <w:t>4.2 Контрольно-счетный орган Дергачевского муниципального района в соответствии с настоящим Соглашением осуществляет переда</w:t>
      </w:r>
      <w:r>
        <w:rPr>
          <w:sz w:val="28"/>
        </w:rPr>
        <w:t>нное полномочие согласно п. 1 в соответствии с требованиями действующего законодательства;</w:t>
      </w:r>
    </w:p>
    <w:p w14:paraId="72000000">
      <w:pPr>
        <w:spacing w:after="0" w:line="240" w:lineRule="auto"/>
        <w:ind/>
        <w:jc w:val="both"/>
        <w:rPr>
          <w:sz w:val="28"/>
        </w:rPr>
      </w:pPr>
      <w:r>
        <w:rPr>
          <w:sz w:val="28"/>
        </w:rPr>
        <w:t>4.2.2. Направляет поступившие финансовые средства (трансферты) в полном объеме на осуществление переданного полномочия, указанного в</w:t>
      </w:r>
      <w:r>
        <w:rPr>
          <w:b w:val="1"/>
          <w:sz w:val="28"/>
        </w:rPr>
        <w:t xml:space="preserve"> п</w:t>
      </w:r>
      <w:r>
        <w:rPr>
          <w:sz w:val="28"/>
        </w:rPr>
        <w:t>.</w:t>
      </w:r>
      <w:r>
        <w:rPr>
          <w:b w:val="1"/>
          <w:sz w:val="28"/>
        </w:rPr>
        <w:t xml:space="preserve"> 1 </w:t>
      </w:r>
      <w:r>
        <w:rPr>
          <w:sz w:val="28"/>
        </w:rPr>
        <w:t>обеспечивая их целевое испо</w:t>
      </w:r>
      <w:r>
        <w:rPr>
          <w:sz w:val="28"/>
        </w:rPr>
        <w:t>льзование:</w:t>
      </w:r>
    </w:p>
    <w:p w14:paraId="73000000">
      <w:pPr>
        <w:spacing w:after="0" w:line="240" w:lineRule="auto"/>
        <w:ind/>
        <w:jc w:val="center"/>
        <w:rPr>
          <w:b w:val="1"/>
          <w:sz w:val="28"/>
        </w:rPr>
      </w:pPr>
    </w:p>
    <w:p w14:paraId="74000000">
      <w:pPr>
        <w:spacing w:after="0" w:line="24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5. Срок действия Соглашения</w:t>
      </w:r>
    </w:p>
    <w:p w14:paraId="75000000">
      <w:pPr>
        <w:spacing w:after="0" w:line="240" w:lineRule="auto"/>
        <w:ind w:firstLine="708"/>
        <w:jc w:val="both"/>
        <w:rPr>
          <w:sz w:val="28"/>
        </w:rPr>
      </w:pPr>
      <w:r>
        <w:rPr>
          <w:sz w:val="28"/>
        </w:rPr>
        <w:t>5.1. Настоящее Соглашение вступает в силу с момента обнародования решения по передаче полномочий согласно п.1  и действует по 31 декабря 2026 года.</w:t>
      </w:r>
    </w:p>
    <w:p w14:paraId="76000000">
      <w:pPr>
        <w:ind w:firstLine="708"/>
        <w:jc w:val="both"/>
        <w:rPr>
          <w:sz w:val="28"/>
        </w:rPr>
      </w:pPr>
      <w:r>
        <w:rPr>
          <w:sz w:val="28"/>
        </w:rPr>
        <w:t>5.2. При отсутствии письменного обращения какой-либо из сторон о пре</w:t>
      </w:r>
      <w:r>
        <w:rPr>
          <w:sz w:val="28"/>
        </w:rPr>
        <w:t>кращении действия Соглашения, направленного до истечения срока действия Соглашения, Соглашение считается пролонгированным на срок один год.</w:t>
      </w:r>
    </w:p>
    <w:p w14:paraId="77000000">
      <w:pPr>
        <w:spacing w:after="0" w:line="240" w:lineRule="auto"/>
        <w:ind/>
        <w:jc w:val="both"/>
        <w:rPr>
          <w:sz w:val="28"/>
        </w:rPr>
      </w:pPr>
      <w:r>
        <w:rPr>
          <w:sz w:val="28"/>
        </w:rPr>
        <w:t xml:space="preserve">          5.3. В случае если решением представительного органа поселения о бюджете поселения не будут утверждены меж</w:t>
      </w:r>
      <w:r>
        <w:rPr>
          <w:sz w:val="28"/>
        </w:rPr>
        <w:t>бюджетные трансферты бюджету муниципального района, предусмотренные настоящим Соглашением, действие Соглашения приостанавливается до момента утверждения соответствующих межбюджетных трансфертов</w:t>
      </w:r>
    </w:p>
    <w:p w14:paraId="78000000">
      <w:pPr>
        <w:spacing w:after="0" w:line="240" w:lineRule="auto"/>
        <w:ind/>
        <w:jc w:val="center"/>
        <w:rPr>
          <w:b w:val="1"/>
          <w:sz w:val="28"/>
        </w:rPr>
      </w:pPr>
    </w:p>
    <w:p w14:paraId="79000000">
      <w:pPr>
        <w:spacing w:after="0" w:line="24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6.Ответственность сторон</w:t>
      </w:r>
    </w:p>
    <w:p w14:paraId="7A000000">
      <w:pPr>
        <w:spacing w:after="0" w:line="240" w:lineRule="auto"/>
        <w:ind/>
        <w:jc w:val="both"/>
        <w:rPr>
          <w:b w:val="1"/>
          <w:sz w:val="28"/>
        </w:rPr>
      </w:pPr>
      <w:r>
        <w:rPr>
          <w:sz w:val="28"/>
        </w:rPr>
        <w:t xml:space="preserve">          6.1.Каждая из Сторон несет</w:t>
      </w:r>
      <w:r>
        <w:rPr>
          <w:sz w:val="28"/>
        </w:rPr>
        <w:t xml:space="preserve"> ответственность за исполнение условий настоящего Соглашения  в соответствии с законодательством Российской Федерации.</w:t>
      </w:r>
    </w:p>
    <w:p w14:paraId="7B000000">
      <w:pPr>
        <w:spacing w:after="0" w:line="24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7. Порядок расторжения Соглашения</w:t>
      </w:r>
    </w:p>
    <w:p w14:paraId="7C000000">
      <w:pPr>
        <w:spacing w:after="0" w:line="240" w:lineRule="auto"/>
        <w:ind/>
        <w:jc w:val="both"/>
        <w:rPr>
          <w:sz w:val="28"/>
        </w:rPr>
      </w:pPr>
      <w:r>
        <w:rPr>
          <w:sz w:val="28"/>
        </w:rPr>
        <w:t xml:space="preserve">          7.1.Каждая из Сторон вправе  расторгнуть Соглашение, письменно уведомив другую Сторону за 30 </w:t>
      </w:r>
      <w:r>
        <w:rPr>
          <w:sz w:val="28"/>
        </w:rPr>
        <w:t>дней до дня расторжения и указав причины досрочного расторжения Соглашения.</w:t>
      </w:r>
    </w:p>
    <w:p w14:paraId="7D000000">
      <w:pPr>
        <w:spacing w:after="0" w:line="240" w:lineRule="auto"/>
        <w:ind/>
        <w:jc w:val="both"/>
        <w:rPr>
          <w:sz w:val="28"/>
        </w:rPr>
      </w:pPr>
      <w:r>
        <w:rPr>
          <w:sz w:val="28"/>
        </w:rPr>
        <w:t xml:space="preserve">          7.2.По взаимному согласию Сторон или в соответствии с требованиями действующего законодательства в настоящее Соглашение в письменной форме могут быть внесены изменения и </w:t>
      </w:r>
      <w:r>
        <w:rPr>
          <w:sz w:val="28"/>
        </w:rPr>
        <w:t>(или) дополнения, являющиеся неотъемлемой частью настоящего Соглашения с даты их подписания Сторонами.</w:t>
      </w:r>
    </w:p>
    <w:p w14:paraId="7E000000">
      <w:pPr>
        <w:spacing w:after="0" w:line="240" w:lineRule="auto"/>
        <w:ind/>
        <w:jc w:val="both"/>
        <w:rPr>
          <w:sz w:val="28"/>
        </w:rPr>
      </w:pPr>
      <w:r>
        <w:rPr>
          <w:sz w:val="28"/>
        </w:rPr>
        <w:t xml:space="preserve">          7.3.Неурегулированные Сторонами споры и разногласия, возникающие при исполнении настоящего Соглашения, подлежат рассмотрению в порядке, предусм</w:t>
      </w:r>
      <w:r>
        <w:rPr>
          <w:sz w:val="28"/>
        </w:rPr>
        <w:t>отренном действующим законодательством.</w:t>
      </w:r>
    </w:p>
    <w:p w14:paraId="7F000000">
      <w:pPr>
        <w:spacing w:after="0" w:line="240" w:lineRule="auto"/>
        <w:ind/>
        <w:jc w:val="both"/>
        <w:rPr>
          <w:sz w:val="28"/>
        </w:rPr>
      </w:pPr>
      <w:r>
        <w:rPr>
          <w:sz w:val="28"/>
        </w:rPr>
        <w:t xml:space="preserve">          7.4. Настоящее Соглашение составлено в 3 (трех) экземплярах, по одному экземпляру для каждой из Сторон, имеющих равную юридическую силу.</w:t>
      </w:r>
    </w:p>
    <w:p w14:paraId="80000000">
      <w:pPr>
        <w:spacing w:after="0" w:line="24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8.Финансовые санкции за </w:t>
      </w:r>
      <w:r>
        <w:rPr>
          <w:b w:val="1"/>
          <w:sz w:val="28"/>
        </w:rPr>
        <w:t>не исполнение</w:t>
      </w:r>
      <w:r>
        <w:rPr>
          <w:b w:val="1"/>
          <w:sz w:val="28"/>
        </w:rPr>
        <w:t xml:space="preserve"> Соглашения</w:t>
      </w:r>
    </w:p>
    <w:p w14:paraId="81000000">
      <w:pPr>
        <w:spacing w:after="0" w:line="240" w:lineRule="auto"/>
        <w:ind/>
        <w:jc w:val="both"/>
        <w:rPr>
          <w:sz w:val="28"/>
        </w:rPr>
      </w:pPr>
      <w:r>
        <w:rPr>
          <w:sz w:val="28"/>
        </w:rPr>
        <w:t xml:space="preserve">         8.1.В </w:t>
      </w:r>
      <w:r>
        <w:rPr>
          <w:sz w:val="28"/>
        </w:rPr>
        <w:t>случае нарушения  «</w:t>
      </w:r>
      <w:r>
        <w:rPr>
          <w:b w:val="1"/>
          <w:sz w:val="28"/>
        </w:rPr>
        <w:t>Поселением</w:t>
      </w:r>
      <w:r>
        <w:rPr>
          <w:sz w:val="28"/>
        </w:rPr>
        <w:t>» срока перечисления межбюджетных трансфертов, «</w:t>
      </w:r>
      <w:r>
        <w:rPr>
          <w:b w:val="1"/>
          <w:sz w:val="28"/>
        </w:rPr>
        <w:t>Поселению</w:t>
      </w:r>
      <w:r>
        <w:rPr>
          <w:sz w:val="28"/>
        </w:rPr>
        <w:t>» начисляются пени в размере 0,01% за каждый день просрочки исполнения обязательства по перечислению межбюджетных трансфертов.</w:t>
      </w:r>
    </w:p>
    <w:p w14:paraId="82000000">
      <w:pPr>
        <w:spacing w:after="0" w:line="240" w:lineRule="auto"/>
        <w:ind/>
        <w:jc w:val="both"/>
        <w:rPr>
          <w:sz w:val="28"/>
        </w:rPr>
      </w:pPr>
      <w:r>
        <w:rPr>
          <w:sz w:val="28"/>
        </w:rPr>
        <w:t xml:space="preserve">          8.2. В случае ненадлежащего </w:t>
      </w:r>
      <w:r>
        <w:rPr>
          <w:sz w:val="28"/>
        </w:rPr>
        <w:t xml:space="preserve">исполнения принятых полномочий </w:t>
      </w:r>
      <w:r>
        <w:rPr>
          <w:sz w:val="28"/>
        </w:rPr>
        <w:t>контрольно</w:t>
      </w:r>
      <w:r>
        <w:rPr>
          <w:sz w:val="28"/>
        </w:rPr>
        <w:t xml:space="preserve"> –счетным органом Дергачевского муниципального района влечет за собой возврат перечисленных межбюджетных трансфертов в бюджет Дергачевского</w:t>
      </w:r>
      <w:r>
        <w:rPr>
          <w:sz w:val="28"/>
        </w:rPr>
        <w:t xml:space="preserve"> муниципального образования, за вычетом фактических расходов, подтвержденных</w:t>
      </w:r>
      <w:r>
        <w:rPr>
          <w:sz w:val="28"/>
        </w:rPr>
        <w:t xml:space="preserve"> документально, в срок в течени</w:t>
      </w:r>
      <w:r>
        <w:rPr>
          <w:sz w:val="28"/>
        </w:rPr>
        <w:t>и</w:t>
      </w:r>
      <w:r>
        <w:rPr>
          <w:sz w:val="28"/>
        </w:rPr>
        <w:t xml:space="preserve"> 1 месяца с момента подписания Соглашения, а также уплату неустойки в размере 0,01% от суммы межбюджетных трансфертов за отчетный год, выделяемых из бюджета поселения на осуществление указанных полномочий.</w:t>
      </w:r>
    </w:p>
    <w:p w14:paraId="83000000">
      <w:pPr>
        <w:spacing w:after="0" w:line="240" w:lineRule="auto"/>
        <w:ind/>
        <w:jc w:val="both"/>
        <w:rPr>
          <w:sz w:val="28"/>
        </w:rPr>
      </w:pPr>
      <w:r>
        <w:rPr>
          <w:sz w:val="28"/>
        </w:rPr>
        <w:t>8.3 Ущерб причинен</w:t>
      </w:r>
      <w:r>
        <w:rPr>
          <w:sz w:val="28"/>
        </w:rPr>
        <w:t>ный неисполнением или ненадлежащим исполнением настоящего Соглашения одной из сторон другой стороне, полностью компенсируется виновной стороной. «Сторона», не исполнившая или ненадлежащим образом исполнившая свои обязанности освобождается от ответственност</w:t>
      </w:r>
      <w:r>
        <w:rPr>
          <w:sz w:val="28"/>
        </w:rPr>
        <w:t>и, если докажет, что неисполнение или ненадлежащее исполнение произошло в результате обстоятельств непреодолимой силы или действий другой стороны.</w:t>
      </w:r>
    </w:p>
    <w:p w14:paraId="84000000">
      <w:pPr>
        <w:ind w:firstLine="709"/>
        <w:jc w:val="both"/>
        <w:rPr>
          <w:sz w:val="28"/>
        </w:rPr>
      </w:pPr>
    </w:p>
    <w:tbl>
      <w:tblPr>
        <w:tblStyle w:val="Style_6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927"/>
        <w:gridCol w:w="5261"/>
      </w:tblGrid>
      <w:tr>
        <w:tc>
          <w:tcPr>
            <w:tcW w:type="dxa" w:w="492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ind w:right="284"/>
            </w:pPr>
            <w:r>
              <w:rPr>
                <w:sz w:val="28"/>
              </w:rPr>
              <w:t>Глава Дергачевского муниципального района</w:t>
            </w:r>
          </w:p>
          <w:p w14:paraId="86000000">
            <w:pPr>
              <w:ind w:right="284"/>
              <w:rPr>
                <w:sz w:val="28"/>
              </w:rPr>
            </w:pPr>
          </w:p>
          <w:p w14:paraId="87000000">
            <w:pPr>
              <w:ind w:right="284"/>
              <w:rPr>
                <w:sz w:val="28"/>
              </w:rPr>
            </w:pPr>
            <w:r>
              <w:rPr>
                <w:sz w:val="28"/>
              </w:rPr>
              <w:t>_________________</w:t>
            </w:r>
            <w:r>
              <w:rPr>
                <w:sz w:val="28"/>
                <w:u w:val="single"/>
              </w:rPr>
              <w:t>Мурзаков</w:t>
            </w:r>
            <w:r>
              <w:rPr>
                <w:sz w:val="28"/>
                <w:u w:val="single"/>
              </w:rPr>
              <w:t xml:space="preserve"> С.Н</w:t>
            </w:r>
          </w:p>
          <w:p w14:paraId="88000000">
            <w:pPr>
              <w:ind w:right="284"/>
            </w:pPr>
            <w:r>
              <w:t>_________________</w:t>
            </w:r>
          </w:p>
          <w:p w14:paraId="89000000">
            <w:pPr>
              <w:ind w:right="284"/>
            </w:pPr>
            <w:r>
              <w:t>(Дата подписания)</w:t>
            </w:r>
          </w:p>
          <w:p w14:paraId="8A000000">
            <w:pPr>
              <w:ind w:right="284"/>
              <w:rPr>
                <w:sz w:val="28"/>
              </w:rPr>
            </w:pPr>
          </w:p>
        </w:tc>
        <w:tc>
          <w:tcPr>
            <w:tcW w:type="dxa" w:w="526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ind w:right="284"/>
              <w:rPr>
                <w:sz w:val="28"/>
              </w:rPr>
            </w:pPr>
            <w:r>
              <w:rPr>
                <w:sz w:val="28"/>
              </w:rPr>
              <w:t>Глава _____________</w:t>
            </w:r>
          </w:p>
          <w:p w14:paraId="8C000000">
            <w:pPr>
              <w:ind w:right="284"/>
            </w:pPr>
            <w:r>
              <w:rPr>
                <w:sz w:val="28"/>
              </w:rPr>
              <w:t>муниципального образования</w:t>
            </w:r>
            <w:r>
              <w:t xml:space="preserve"> </w:t>
            </w:r>
          </w:p>
          <w:p w14:paraId="8D000000">
            <w:pPr>
              <w:ind w:right="284"/>
              <w:rPr>
                <w:sz w:val="28"/>
              </w:rPr>
            </w:pPr>
          </w:p>
          <w:p w14:paraId="8E000000">
            <w:pPr>
              <w:ind w:right="284"/>
              <w:rPr>
                <w:sz w:val="28"/>
              </w:rPr>
            </w:pPr>
            <w:r>
              <w:rPr>
                <w:sz w:val="28"/>
              </w:rPr>
              <w:t>________________________________</w:t>
            </w:r>
          </w:p>
          <w:p w14:paraId="8F000000">
            <w:pPr>
              <w:ind w:right="284"/>
            </w:pPr>
            <w:r>
              <w:t>_______________</w:t>
            </w:r>
          </w:p>
          <w:p w14:paraId="90000000">
            <w:pPr>
              <w:ind w:right="284"/>
            </w:pPr>
            <w:r>
              <w:t>(Дата подписания)</w:t>
            </w:r>
          </w:p>
          <w:p w14:paraId="91000000">
            <w:pPr>
              <w:ind w:right="284"/>
              <w:rPr>
                <w:sz w:val="28"/>
              </w:rPr>
            </w:pPr>
          </w:p>
          <w:p w14:paraId="92000000">
            <w:pPr>
              <w:ind w:right="284"/>
              <w:rPr>
                <w:sz w:val="28"/>
              </w:rPr>
            </w:pPr>
          </w:p>
        </w:tc>
      </w:tr>
      <w:tr>
        <w:tc>
          <w:tcPr>
            <w:tcW w:type="dxa" w:w="492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ind w:right="284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И.О.Председателя Контрольно-счетного органа Дергачевского муниципаль</w:t>
            </w:r>
            <w:r>
              <w:rPr>
                <w:b w:val="0"/>
                <w:sz w:val="28"/>
              </w:rPr>
              <w:t xml:space="preserve">ного района </w:t>
            </w:r>
          </w:p>
        </w:tc>
        <w:tc>
          <w:tcPr>
            <w:tcW w:type="dxa" w:w="526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ind w:right="284"/>
              <w:rPr>
                <w:b w:val="1"/>
                <w:sz w:val="28"/>
              </w:rPr>
            </w:pPr>
          </w:p>
        </w:tc>
      </w:tr>
    </w:tbl>
    <w:p w14:paraId="95000000">
      <w:pPr>
        <w:rPr>
          <w:sz w:val="28"/>
        </w:rPr>
      </w:pPr>
    </w:p>
    <w:p w14:paraId="96000000">
      <w:pPr>
        <w:rPr>
          <w:sz w:val="28"/>
        </w:rPr>
      </w:pPr>
      <w:r>
        <w:rPr>
          <w:sz w:val="28"/>
        </w:rPr>
        <w:t>________________________</w:t>
      </w:r>
    </w:p>
    <w:p w14:paraId="97000000">
      <w:pPr>
        <w:rPr>
          <w:sz w:val="28"/>
          <w:vertAlign w:val="subscript"/>
        </w:rPr>
      </w:pPr>
      <w:r>
        <w:rPr>
          <w:sz w:val="28"/>
          <w:vertAlign w:val="subscript"/>
        </w:rPr>
        <w:t>------------------------------</w:t>
      </w:r>
    </w:p>
    <w:p w14:paraId="98000000">
      <w:pPr>
        <w:rPr>
          <w:sz w:val="28"/>
          <w:vertAlign w:val="subscript"/>
        </w:rPr>
      </w:pPr>
      <w:r>
        <w:rPr>
          <w:sz w:val="28"/>
          <w:vertAlign w:val="subscript"/>
        </w:rPr>
        <w:t>( дата подписи)</w:t>
      </w:r>
    </w:p>
    <w:sectPr>
      <w:pgSz w:h="16838" w:w="11906"/>
      <w:pgMar w:bottom="567" w:footer="708" w:gutter="0" w:header="708" w:left="1701" w:right="85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1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3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4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</w:abstractNum>
  <w:abstractNum w:abstractNumId="1">
    <w:lvl w:ilvl="0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1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3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4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7_ch" w:type="character">
    <w:name w:val="Normal"/>
    <w:link w:val="Style_7"/>
    <w:rPr>
      <w:rFonts w:ascii="Times New Roman" w:hAnsi="Times New Roman"/>
      <w:sz w:val="24"/>
    </w:rPr>
  </w:style>
  <w:style w:styleId="Style_8" w:type="paragraph">
    <w:name w:val="toc 2"/>
    <w:next w:val="Style_7"/>
    <w:link w:val="Style_8_ch"/>
    <w:uiPriority w:val="39"/>
    <w:pPr>
      <w:ind w:firstLine="0" w:left="200"/>
    </w:pPr>
  </w:style>
  <w:style w:styleId="Style_8_ch" w:type="character">
    <w:name w:val="toc 2"/>
    <w:link w:val="Style_8"/>
  </w:style>
  <w:style w:styleId="Style_9" w:type="paragraph">
    <w:name w:val="toc 4"/>
    <w:next w:val="Style_7"/>
    <w:link w:val="Style_9_ch"/>
    <w:uiPriority w:val="39"/>
    <w:pPr>
      <w:ind w:firstLine="0" w:left="600"/>
    </w:pPr>
  </w:style>
  <w:style w:styleId="Style_9_ch" w:type="character">
    <w:name w:val="toc 4"/>
    <w:link w:val="Style_9"/>
  </w:style>
  <w:style w:styleId="Style_10" w:type="paragraph">
    <w:name w:val="toc 6"/>
    <w:next w:val="Style_7"/>
    <w:link w:val="Style_10_ch"/>
    <w:uiPriority w:val="39"/>
    <w:pPr>
      <w:ind w:firstLine="0" w:left="1000"/>
    </w:pPr>
  </w:style>
  <w:style w:styleId="Style_10_ch" w:type="character">
    <w:name w:val="toc 6"/>
    <w:link w:val="Style_10"/>
  </w:style>
  <w:style w:styleId="Style_11" w:type="paragraph">
    <w:name w:val="toc 7"/>
    <w:next w:val="Style_7"/>
    <w:link w:val="Style_11_ch"/>
    <w:uiPriority w:val="39"/>
    <w:pPr>
      <w:ind w:firstLine="0" w:left="1200"/>
    </w:pPr>
  </w:style>
  <w:style w:styleId="Style_11_ch" w:type="character">
    <w:name w:val="toc 7"/>
    <w:link w:val="Style_11"/>
  </w:style>
  <w:style w:styleId="Style_3" w:type="paragraph">
    <w:name w:val="Основной текст с отступом 21"/>
    <w:basedOn w:val="Style_7"/>
    <w:link w:val="Style_3_ch"/>
    <w:pPr>
      <w:ind w:firstLine="561"/>
    </w:pPr>
    <w:rPr>
      <w:sz w:val="28"/>
    </w:rPr>
  </w:style>
  <w:style w:styleId="Style_3_ch" w:type="character">
    <w:name w:val="Основной текст с отступом 21"/>
    <w:basedOn w:val="Style_7_ch"/>
    <w:link w:val="Style_3"/>
    <w:rPr>
      <w:sz w:val="28"/>
    </w:rPr>
  </w:style>
  <w:style w:styleId="Style_12" w:type="paragraph">
    <w:name w:val="heading 3"/>
    <w:next w:val="Style_7"/>
    <w:link w:val="Style_12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2_ch" w:type="character">
    <w:name w:val="heading 3"/>
    <w:link w:val="Style_12"/>
    <w:rPr>
      <w:rFonts w:ascii="XO Thames" w:hAnsi="XO Thames"/>
      <w:b w:val="1"/>
      <w:i w:val="1"/>
      <w:color w:val="000000"/>
    </w:rPr>
  </w:style>
  <w:style w:styleId="Style_13" w:type="paragraph">
    <w:name w:val="Прижатый влево"/>
    <w:basedOn w:val="Style_7"/>
    <w:next w:val="Style_7"/>
    <w:link w:val="Style_13_ch"/>
    <w:rPr>
      <w:rFonts w:ascii="Arial" w:hAnsi="Arial"/>
    </w:rPr>
  </w:style>
  <w:style w:styleId="Style_13_ch" w:type="character">
    <w:name w:val="Прижатый влево"/>
    <w:basedOn w:val="Style_7_ch"/>
    <w:link w:val="Style_13"/>
    <w:rPr>
      <w:rFonts w:ascii="Arial" w:hAnsi="Arial"/>
    </w:rPr>
  </w:style>
  <w:style w:styleId="Style_14" w:type="paragraph">
    <w:name w:val="Balloon Text"/>
    <w:basedOn w:val="Style_7"/>
    <w:link w:val="Style_14_ch"/>
    <w:rPr>
      <w:rFonts w:ascii="Tahoma" w:hAnsi="Tahoma"/>
      <w:sz w:val="16"/>
    </w:rPr>
  </w:style>
  <w:style w:styleId="Style_14_ch" w:type="character">
    <w:name w:val="Balloon Text"/>
    <w:basedOn w:val="Style_7_ch"/>
    <w:link w:val="Style_14"/>
    <w:rPr>
      <w:rFonts w:ascii="Tahoma" w:hAnsi="Tahoma"/>
      <w:sz w:val="16"/>
    </w:rPr>
  </w:style>
  <w:style w:styleId="Style_15" w:type="paragraph">
    <w:name w:val="Базовый"/>
    <w:link w:val="Style_15_ch"/>
    <w:pPr>
      <w:tabs>
        <w:tab w:leader="none" w:pos="708" w:val="left"/>
      </w:tabs>
      <w:ind/>
    </w:pPr>
    <w:rPr>
      <w:rFonts w:ascii="Calibri" w:hAnsi="Calibri"/>
      <w:color w:val="00000A"/>
    </w:rPr>
  </w:style>
  <w:style w:styleId="Style_15_ch" w:type="character">
    <w:name w:val="Базовый"/>
    <w:link w:val="Style_15"/>
    <w:rPr>
      <w:rFonts w:ascii="Calibri" w:hAnsi="Calibri"/>
      <w:color w:val="00000A"/>
    </w:rPr>
  </w:style>
  <w:style w:styleId="Style_5" w:type="paragraph">
    <w:name w:val="No Spacing"/>
    <w:link w:val="Style_5_ch"/>
    <w:pPr>
      <w:spacing w:after="0" w:line="240" w:lineRule="auto"/>
      <w:ind/>
    </w:pPr>
    <w:rPr>
      <w:rFonts w:ascii="Times New Roman" w:hAnsi="Times New Roman"/>
      <w:sz w:val="24"/>
    </w:rPr>
  </w:style>
  <w:style w:styleId="Style_5_ch" w:type="character">
    <w:name w:val="No Spacing"/>
    <w:link w:val="Style_5"/>
    <w:rPr>
      <w:rFonts w:ascii="Times New Roman" w:hAnsi="Times New Roman"/>
      <w:sz w:val="24"/>
    </w:rPr>
  </w:style>
  <w:style w:styleId="Style_4" w:type="paragraph">
    <w:name w:val="Body Text 2"/>
    <w:basedOn w:val="Style_7"/>
    <w:link w:val="Style_4_ch"/>
    <w:pPr>
      <w:spacing w:after="120" w:line="480" w:lineRule="auto"/>
      <w:ind/>
    </w:pPr>
  </w:style>
  <w:style w:styleId="Style_4_ch" w:type="character">
    <w:name w:val="Body Text 2"/>
    <w:basedOn w:val="Style_7_ch"/>
    <w:link w:val="Style_4"/>
  </w:style>
  <w:style w:styleId="Style_16" w:type="paragraph">
    <w:name w:val="toc 3"/>
    <w:next w:val="Style_7"/>
    <w:link w:val="Style_16_ch"/>
    <w:uiPriority w:val="39"/>
    <w:pPr>
      <w:ind w:firstLine="0" w:left="400"/>
    </w:pPr>
  </w:style>
  <w:style w:styleId="Style_16_ch" w:type="character">
    <w:name w:val="toc 3"/>
    <w:link w:val="Style_16"/>
  </w:style>
  <w:style w:styleId="Style_17" w:type="paragraph">
    <w:name w:val="heading 5"/>
    <w:next w:val="Style_7"/>
    <w:link w:val="Style_17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7_ch" w:type="character">
    <w:name w:val="heading 5"/>
    <w:link w:val="Style_17"/>
    <w:rPr>
      <w:rFonts w:ascii="XO Thames" w:hAnsi="XO Thames"/>
      <w:b w:val="1"/>
      <w:color w:val="000000"/>
      <w:sz w:val="22"/>
    </w:rPr>
  </w:style>
  <w:style w:styleId="Style_18" w:type="paragraph">
    <w:name w:val="heading 1"/>
    <w:basedOn w:val="Style_7"/>
    <w:next w:val="Style_7"/>
    <w:link w:val="Style_18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28"/>
    </w:rPr>
  </w:style>
  <w:style w:styleId="Style_18_ch" w:type="character">
    <w:name w:val="heading 1"/>
    <w:basedOn w:val="Style_7_ch"/>
    <w:link w:val="Style_18"/>
    <w:rPr>
      <w:rFonts w:ascii="Arial" w:hAnsi="Arial"/>
      <w:b w:val="1"/>
      <w:sz w:val="28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/>
      <w:jc w:val="left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7"/>
    <w:link w:val="Style_21_ch"/>
    <w:uiPriority w:val="39"/>
    <w:pPr>
      <w:ind w:firstLine="0" w:left="0"/>
    </w:pPr>
    <w:rPr>
      <w:rFonts w:ascii="XO Thames" w:hAnsi="XO Thames"/>
      <w:b w:val="1"/>
    </w:rPr>
  </w:style>
  <w:style w:styleId="Style_21_ch" w:type="character">
    <w:name w:val="toc 1"/>
    <w:link w:val="Style_21"/>
    <w:rPr>
      <w:rFonts w:ascii="XO Thames" w:hAnsi="XO Thames"/>
      <w:b w:val="1"/>
    </w:rPr>
  </w:style>
  <w:style w:styleId="Style_22" w:type="paragraph">
    <w:name w:val="Header and Footer"/>
    <w:link w:val="Style_22_ch"/>
    <w:pPr>
      <w:spacing w:line="360" w:lineRule="auto"/>
      <w:ind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7"/>
    <w:link w:val="Style_23_ch"/>
    <w:uiPriority w:val="39"/>
    <w:pPr>
      <w:ind w:firstLine="0" w:left="1600"/>
    </w:pPr>
  </w:style>
  <w:style w:styleId="Style_23_ch" w:type="character">
    <w:name w:val="toc 9"/>
    <w:link w:val="Style_23"/>
  </w:style>
  <w:style w:styleId="Style_24" w:type="paragraph">
    <w:name w:val="toc 8"/>
    <w:next w:val="Style_7"/>
    <w:link w:val="Style_24_ch"/>
    <w:uiPriority w:val="39"/>
    <w:pPr>
      <w:ind w:firstLine="0" w:left="1400"/>
    </w:pPr>
  </w:style>
  <w:style w:styleId="Style_24_ch" w:type="character">
    <w:name w:val="toc 8"/>
    <w:link w:val="Style_24"/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toc 5"/>
    <w:next w:val="Style_7"/>
    <w:link w:val="Style_26_ch"/>
    <w:uiPriority w:val="39"/>
    <w:pPr>
      <w:ind w:firstLine="0" w:left="800"/>
    </w:pPr>
  </w:style>
  <w:style w:styleId="Style_26_ch" w:type="character">
    <w:name w:val="toc 5"/>
    <w:link w:val="Style_26"/>
  </w:style>
  <w:style w:styleId="Style_27" w:type="paragraph">
    <w:name w:val="Subtitle"/>
    <w:next w:val="Style_7"/>
    <w:link w:val="Style_27_ch"/>
    <w:uiPriority w:val="11"/>
    <w:qFormat/>
    <w:rPr>
      <w:rFonts w:ascii="XO Thames" w:hAnsi="XO Thames"/>
      <w:i w:val="1"/>
      <w:color w:val="616161"/>
      <w:sz w:val="24"/>
    </w:rPr>
  </w:style>
  <w:style w:styleId="Style_27_ch" w:type="character">
    <w:name w:val="Subtitle"/>
    <w:link w:val="Style_27"/>
    <w:rPr>
      <w:rFonts w:ascii="XO Thames" w:hAnsi="XO Thames"/>
      <w:i w:val="1"/>
      <w:color w:val="616161"/>
      <w:sz w:val="24"/>
    </w:rPr>
  </w:style>
  <w:style w:styleId="Style_28" w:type="paragraph">
    <w:name w:val="toc 10"/>
    <w:next w:val="Style_7"/>
    <w:link w:val="Style_28_ch"/>
    <w:uiPriority w:val="39"/>
    <w:pPr>
      <w:ind w:firstLine="0" w:left="1800"/>
    </w:pPr>
  </w:style>
  <w:style w:styleId="Style_28_ch" w:type="character">
    <w:name w:val="toc 10"/>
    <w:link w:val="Style_28"/>
  </w:style>
  <w:style w:styleId="Style_1" w:type="paragraph">
    <w:name w:val="Title"/>
    <w:basedOn w:val="Style_7"/>
    <w:link w:val="Style_1_ch"/>
    <w:uiPriority w:val="10"/>
    <w:qFormat/>
    <w:pPr>
      <w:ind/>
      <w:jc w:val="center"/>
    </w:pPr>
    <w:rPr>
      <w:b w:val="1"/>
      <w:sz w:val="28"/>
    </w:rPr>
  </w:style>
  <w:style w:styleId="Style_1_ch" w:type="character">
    <w:name w:val="Title"/>
    <w:basedOn w:val="Style_7_ch"/>
    <w:link w:val="Style_1"/>
    <w:rPr>
      <w:b w:val="1"/>
      <w:sz w:val="28"/>
    </w:rPr>
  </w:style>
  <w:style w:styleId="Style_29" w:type="paragraph">
    <w:name w:val="heading 4"/>
    <w:next w:val="Style_7"/>
    <w:link w:val="Style_29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9_ch" w:type="character">
    <w:name w:val="heading 4"/>
    <w:link w:val="Style_29"/>
    <w:rPr>
      <w:rFonts w:ascii="XO Thames" w:hAnsi="XO Thames"/>
      <w:b w:val="1"/>
      <w:color w:val="595959"/>
      <w:sz w:val="26"/>
    </w:rPr>
  </w:style>
  <w:style w:styleId="Style_2" w:type="paragraph">
    <w:name w:val="heading 2"/>
    <w:basedOn w:val="Style_7"/>
    <w:next w:val="Style_7"/>
    <w:link w:val="Style_2_ch"/>
    <w:uiPriority w:val="9"/>
    <w:qFormat/>
    <w:pPr>
      <w:keepNext w:val="1"/>
      <w:keepLines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2_ch" w:type="character">
    <w:name w:val="heading 2"/>
    <w:basedOn w:val="Style_7_ch"/>
    <w:link w:val="Style_2"/>
    <w:rPr>
      <w:rFonts w:asciiTheme="majorAscii" w:hAnsiTheme="majorHAnsi"/>
      <w:b w:val="1"/>
      <w:color w:themeColor="accent1" w:val="4F81BD"/>
      <w:sz w:val="26"/>
    </w:rPr>
  </w:style>
  <w:style w:styleId="Style_30" w:type="table">
    <w:name w:val="Table Grid"/>
    <w:basedOn w:val="Style_6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2026-02-09T10:28:38Z</dcterms:modified>
</cp:coreProperties>
</file>