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072" w:val="left"/>
        </w:tabs>
        <w:spacing w:line="252" w:lineRule="auto"/>
        <w:ind/>
        <w:rPr>
          <w:sz w:val="27"/>
        </w:rPr>
      </w:pPr>
      <w:r>
        <w:rPr>
          <w:sz w:val="27"/>
        </w:rPr>
        <w:t xml:space="preserve">                                                                </w:t>
      </w:r>
      <w:r>
        <w:rPr>
          <w:sz w:val="27"/>
        </w:rPr>
        <w:t xml:space="preserve"> </w:t>
      </w: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  <w:r>
        <w:rPr>
          <w:sz w:val="27"/>
        </w:rPr>
        <w:t xml:space="preserve">                                           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7"/>
        </w:rPr>
        <w:t xml:space="preserve">  СОБРАНИЕ</w:t>
      </w:r>
    </w:p>
    <w:p w14:paraId="03000000">
      <w:pPr>
        <w:pStyle w:val="Style_2"/>
        <w:rPr>
          <w:b w:val="1"/>
        </w:rPr>
      </w:pPr>
      <w:r>
        <w:t xml:space="preserve">                                      </w:t>
      </w:r>
      <w:r>
        <w:rPr>
          <w:b w:val="1"/>
        </w:rPr>
        <w:t>ДЕРГАЧЕВСКОГ МУНИЦИПАЛЬНОГО РАЙОНА</w:t>
      </w:r>
    </w:p>
    <w:p w14:paraId="04000000">
      <w:pPr>
        <w:pStyle w:val="Style_2"/>
        <w:rPr>
          <w:b w:val="1"/>
        </w:rPr>
      </w:pPr>
      <w:r>
        <w:rPr>
          <w:b w:val="1"/>
        </w:rPr>
        <w:t xml:space="preserve">                                                              САРАТОВСКОЙ ОБЛАСТИ,</w:t>
      </w:r>
    </w:p>
    <w:p w14:paraId="05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 </w:t>
      </w:r>
    </w:p>
    <w:p w14:paraId="06000000">
      <w:pPr>
        <w:ind/>
        <w:jc w:val="center"/>
        <w:rPr>
          <w:b w:val="1"/>
          <w:sz w:val="20"/>
        </w:rPr>
      </w:pPr>
    </w:p>
    <w:p w14:paraId="07000000">
      <w:pPr>
        <w:ind/>
        <w:jc w:val="center"/>
        <w:rPr>
          <w:b w:val="1"/>
          <w:sz w:val="20"/>
        </w:rPr>
      </w:pPr>
      <w:r>
        <w:rPr>
          <w:sz w:val="18"/>
        </w:rPr>
        <w:t xml:space="preserve">от 28.10.2025 г. № 69-398          </w:t>
      </w:r>
      <w:r>
        <w:rPr>
          <w:sz w:val="18"/>
        </w:rPr>
        <w:t xml:space="preserve">             </w:t>
      </w:r>
      <w:r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</w:t>
      </w:r>
      <w:r>
        <w:rPr>
          <w:sz w:val="18"/>
        </w:rPr>
        <w:t xml:space="preserve">                         </w:t>
      </w:r>
      <w:r>
        <w:rPr>
          <w:sz w:val="18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14:paraId="08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</w:t>
      </w:r>
      <w:r>
        <w:rPr>
          <w:sz w:val="18"/>
        </w:rPr>
        <w:t xml:space="preserve">            </w:t>
      </w:r>
      <w:r>
        <w:rPr>
          <w:sz w:val="18"/>
        </w:rPr>
        <w:t xml:space="preserve">                                      </w:t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9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A000000">
      <w:pPr>
        <w:rPr>
          <w:b w:val="0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 xml:space="preserve">                </w:t>
      </w:r>
      <w:r>
        <w:rPr>
          <w:b w:val="0"/>
          <w:sz w:val="18"/>
        </w:rPr>
        <w:tab/>
      </w:r>
      <w:r>
        <w:rPr>
          <w:b w:val="0"/>
          <w:sz w:val="18"/>
        </w:rPr>
        <w:t xml:space="preserve">              </w:t>
      </w:r>
      <w:r>
        <w:rPr>
          <w:b w:val="0"/>
          <w:sz w:val="18"/>
        </w:rPr>
        <w:t xml:space="preserve">               </w:t>
      </w:r>
      <w:r>
        <w:rPr>
          <w:b w:val="0"/>
          <w:sz w:val="18"/>
        </w:rPr>
        <w:t xml:space="preserve"> </w:t>
      </w:r>
      <w:r>
        <w:rPr>
          <w:b w:val="0"/>
          <w:sz w:val="18"/>
        </w:rPr>
        <w:t xml:space="preserve"> </w:t>
      </w:r>
      <w:r>
        <w:rPr>
          <w:b w:val="0"/>
          <w:sz w:val="18"/>
        </w:rPr>
        <w:t>факс:</w:t>
      </w:r>
      <w:r>
        <w:rPr>
          <w:b w:val="0"/>
          <w:sz w:val="18"/>
        </w:rPr>
        <w:tab/>
      </w:r>
      <w:r>
        <w:rPr>
          <w:b w:val="0"/>
          <w:sz w:val="18"/>
        </w:rPr>
        <w:t>(845-63) 2-91-38</w:t>
      </w:r>
    </w:p>
    <w:p w14:paraId="0B000000">
      <w:pPr>
        <w:rPr>
          <w:b w:val="0"/>
          <w:sz w:val="18"/>
        </w:rPr>
      </w:pPr>
    </w:p>
    <w:p w14:paraId="0C000000">
      <w:pPr>
        <w:pStyle w:val="Style_3"/>
      </w:pPr>
      <w:r>
        <w:rPr>
          <w:b w:val="0"/>
        </w:rPr>
        <w:t>РЕШЕНИЕ  № 69-398</w:t>
      </w:r>
    </w:p>
    <w:p w14:paraId="0D000000">
      <w:pPr>
        <w:pStyle w:val="Style_3"/>
        <w:ind/>
        <w:jc w:val="left"/>
        <w:rPr>
          <w:sz w:val="23"/>
        </w:rPr>
      </w:pPr>
    </w:p>
    <w:p w14:paraId="0E000000">
      <w:pPr>
        <w:ind/>
        <w:jc w:val="both"/>
        <w:rPr>
          <w:b w:val="1"/>
          <w:sz w:val="28"/>
        </w:rPr>
      </w:pPr>
      <w:r>
        <w:rPr>
          <w:b w:val="0"/>
          <w:sz w:val="28"/>
        </w:rPr>
        <w:t xml:space="preserve">  О реализаций мероприятий  в рамках</w:t>
      </w:r>
    </w:p>
    <w:p w14:paraId="0F000000">
      <w:pPr>
        <w:ind/>
        <w:jc w:val="both"/>
        <w:rPr>
          <w:b w:val="1"/>
          <w:sz w:val="28"/>
        </w:rPr>
      </w:pPr>
      <w:r>
        <w:rPr>
          <w:b w:val="0"/>
          <w:sz w:val="28"/>
        </w:rPr>
        <w:t xml:space="preserve"> нацио</w:t>
      </w:r>
      <w:r>
        <w:rPr>
          <w:sz w:val="28"/>
        </w:rPr>
        <w:t>нальных проектов и государственных программ в культуре.</w:t>
      </w:r>
    </w:p>
    <w:p w14:paraId="10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         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Руководствуясь Уставом Дергачевского муниципального района</w:t>
      </w:r>
      <w:r>
        <w:rPr>
          <w:sz w:val="28"/>
        </w:rPr>
        <w:t xml:space="preserve"> Саратовской области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12000000">
      <w:pPr>
        <w:ind/>
        <w:jc w:val="both"/>
        <w:rPr>
          <w:sz w:val="28"/>
        </w:rPr>
      </w:pPr>
    </w:p>
    <w:p w14:paraId="13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>Собрание решило:</w:t>
      </w:r>
    </w:p>
    <w:p w14:paraId="14000000">
      <w:pPr>
        <w:ind/>
        <w:jc w:val="center"/>
        <w:rPr>
          <w:b w:val="1"/>
          <w:sz w:val="28"/>
        </w:rPr>
      </w:pPr>
    </w:p>
    <w:p w14:paraId="15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1.Отчет  И.О. заместителя главы администрации по социальной сфере Суворовой С.Н. принять</w:t>
      </w:r>
      <w:r>
        <w:rPr>
          <w:sz w:val="28"/>
        </w:rPr>
        <w:t xml:space="preserve"> сведению (прилагается).</w:t>
      </w:r>
    </w:p>
    <w:p w14:paraId="16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2. Рекомендовать администрации активизировать участие Дергачевского муниципального района в национальных проектах и программах действующих на территории Саратовской области.</w:t>
      </w:r>
    </w:p>
    <w:p w14:paraId="17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18000000">
      <w:pPr>
        <w:rPr>
          <w:b w:val="1"/>
          <w:sz w:val="28"/>
        </w:rPr>
      </w:pPr>
    </w:p>
    <w:p w14:paraId="19000000">
      <w:pPr>
        <w:rPr>
          <w:b w:val="1"/>
          <w:sz w:val="28"/>
        </w:rPr>
      </w:pPr>
    </w:p>
    <w:p w14:paraId="1A000000">
      <w:pPr>
        <w:rPr>
          <w:b w:val="0"/>
          <w:sz w:val="28"/>
        </w:rPr>
      </w:pPr>
      <w:r>
        <w:rPr>
          <w:b w:val="1"/>
          <w:sz w:val="28"/>
        </w:rPr>
        <w:t xml:space="preserve"> </w:t>
      </w:r>
      <w:r>
        <w:rPr>
          <w:b w:val="0"/>
          <w:sz w:val="28"/>
        </w:rPr>
        <w:t xml:space="preserve"> П</w:t>
      </w:r>
      <w:r>
        <w:rPr>
          <w:b w:val="0"/>
          <w:sz w:val="28"/>
        </w:rPr>
        <w:t>редседатель</w:t>
      </w:r>
      <w:r>
        <w:rPr>
          <w:b w:val="0"/>
          <w:sz w:val="28"/>
        </w:rPr>
        <w:t xml:space="preserve"> Собрания</w:t>
      </w:r>
    </w:p>
    <w:p w14:paraId="1B000000">
      <w:pPr>
        <w:rPr>
          <w:b w:val="0"/>
          <w:sz w:val="28"/>
        </w:rPr>
      </w:pPr>
      <w:r>
        <w:rPr>
          <w:b w:val="0"/>
          <w:sz w:val="28"/>
        </w:rPr>
        <w:t>Дергачевского муниципального района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Шамьюнов Э.Р.</w:t>
      </w:r>
    </w:p>
    <w:p w14:paraId="1C000000">
      <w:pPr>
        <w:rPr>
          <w:b w:val="0"/>
          <w:sz w:val="28"/>
        </w:rPr>
      </w:pPr>
    </w:p>
    <w:p w14:paraId="1D000000">
      <w:pPr>
        <w:rPr>
          <w:b w:val="0"/>
          <w:sz w:val="28"/>
        </w:rPr>
      </w:pPr>
      <w:r>
        <w:rPr>
          <w:b w:val="0"/>
          <w:sz w:val="28"/>
        </w:rPr>
        <w:t>Глава Дергачевского</w:t>
      </w:r>
    </w:p>
    <w:p w14:paraId="1E000000">
      <w:pPr>
        <w:rPr>
          <w:b w:val="0"/>
          <w:sz w:val="28"/>
        </w:rPr>
      </w:pPr>
      <w:r>
        <w:rPr>
          <w:b w:val="0"/>
          <w:sz w:val="28"/>
        </w:rPr>
        <w:t xml:space="preserve">муниципального района                                       </w:t>
      </w:r>
      <w:r>
        <w:rPr>
          <w:b w:val="0"/>
          <w:sz w:val="28"/>
        </w:rPr>
        <w:t xml:space="preserve">       </w:t>
      </w:r>
      <w:r>
        <w:rPr>
          <w:b w:val="0"/>
          <w:sz w:val="28"/>
        </w:rPr>
        <w:t xml:space="preserve">   </w:t>
      </w:r>
      <w:r>
        <w:rPr>
          <w:b w:val="0"/>
          <w:sz w:val="28"/>
        </w:rPr>
        <w:t xml:space="preserve">    </w:t>
      </w:r>
      <w:r>
        <w:rPr>
          <w:b w:val="0"/>
          <w:sz w:val="28"/>
        </w:rPr>
        <w:t xml:space="preserve">   </w:t>
      </w:r>
      <w:r>
        <w:rPr>
          <w:b w:val="0"/>
          <w:sz w:val="28"/>
        </w:rPr>
        <w:t>Мурзаков С.Н.</w:t>
      </w:r>
      <w:r>
        <w:rPr>
          <w:b w:val="0"/>
          <w:sz w:val="28"/>
        </w:rPr>
        <w:t xml:space="preserve"> </w:t>
      </w:r>
    </w:p>
    <w:p w14:paraId="1F000000">
      <w:pPr>
        <w:rPr>
          <w:b w:val="0"/>
          <w:sz w:val="28"/>
        </w:rPr>
      </w:pPr>
    </w:p>
    <w:p w14:paraId="20000000">
      <w:pPr>
        <w:rPr>
          <w:b w:val="1"/>
          <w:sz w:val="28"/>
        </w:rPr>
      </w:pPr>
    </w:p>
    <w:p w14:paraId="21000000">
      <w:pPr>
        <w:rPr>
          <w:b w:val="1"/>
          <w:sz w:val="28"/>
        </w:rPr>
      </w:pPr>
    </w:p>
    <w:p w14:paraId="22000000">
      <w:pPr>
        <w:rPr>
          <w:b w:val="1"/>
          <w:sz w:val="28"/>
        </w:rPr>
      </w:pPr>
    </w:p>
    <w:p w14:paraId="23000000">
      <w:pPr>
        <w:rPr>
          <w:b w:val="1"/>
          <w:sz w:val="28"/>
        </w:rPr>
      </w:pPr>
    </w:p>
    <w:p w14:paraId="24000000">
      <w:pPr>
        <w:rPr>
          <w:b w:val="1"/>
          <w:sz w:val="28"/>
        </w:rPr>
      </w:pPr>
    </w:p>
    <w:p w14:paraId="25000000">
      <w:pPr>
        <w:rPr>
          <w:b w:val="1"/>
          <w:sz w:val="28"/>
        </w:rPr>
      </w:pPr>
    </w:p>
    <w:p w14:paraId="26000000">
      <w:pPr>
        <w:rPr>
          <w:b w:val="1"/>
          <w:sz w:val="28"/>
        </w:rPr>
      </w:pPr>
    </w:p>
    <w:p w14:paraId="27000000">
      <w:pPr>
        <w:rPr>
          <w:b w:val="1"/>
          <w:sz w:val="28"/>
        </w:rPr>
      </w:pPr>
    </w:p>
    <w:p w14:paraId="28000000">
      <w:pPr>
        <w:rPr>
          <w:b w:val="1"/>
          <w:sz w:val="28"/>
        </w:rPr>
      </w:pPr>
    </w:p>
    <w:p w14:paraId="29000000">
      <w:pPr>
        <w:rPr>
          <w:b w:val="1"/>
          <w:sz w:val="28"/>
        </w:rPr>
      </w:pPr>
    </w:p>
    <w:p w14:paraId="2A000000">
      <w:pPr>
        <w:rPr>
          <w:b w:val="1"/>
          <w:sz w:val="28"/>
        </w:rPr>
      </w:pPr>
    </w:p>
    <w:p w14:paraId="2B000000">
      <w:pPr>
        <w:tabs>
          <w:tab w:leader="none" w:pos="254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Информация </w:t>
      </w:r>
    </w:p>
    <w:p w14:paraId="2C000000">
      <w:pPr>
        <w:tabs>
          <w:tab w:leader="none" w:pos="254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исполнению муниципальной программы «Культура Дергачевского района </w:t>
      </w:r>
      <w:r>
        <w:rPr>
          <w:rFonts w:ascii="Times New Roman" w:hAnsi="Times New Roman"/>
          <w:b w:val="1"/>
          <w:sz w:val="28"/>
        </w:rPr>
        <w:t>на 2024-2027 годы»</w:t>
      </w:r>
    </w:p>
    <w:p w14:paraId="2D000000">
      <w:pPr>
        <w:tabs>
          <w:tab w:leader="none" w:pos="254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tabs>
          <w:tab w:leader="none" w:pos="56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Уважаемый Эдуард </w:t>
      </w:r>
      <w:r>
        <w:rPr>
          <w:rFonts w:ascii="Times New Roman" w:hAnsi="Times New Roman"/>
          <w:sz w:val="28"/>
        </w:rPr>
        <w:t>Равильевич</w:t>
      </w:r>
      <w:r>
        <w:rPr>
          <w:rFonts w:ascii="Times New Roman" w:hAnsi="Times New Roman"/>
          <w:sz w:val="28"/>
        </w:rPr>
        <w:t xml:space="preserve">, Сергей Николаевич, депутаты Собрания! Работа учреждений культуры на территории Дергачевского района осуществляется в рамках муниципальной программы «Культура Дергачевского района на 2024 -2026 </w:t>
      </w:r>
      <w:r>
        <w:rPr>
          <w:rFonts w:ascii="Times New Roman" w:hAnsi="Times New Roman"/>
          <w:sz w:val="28"/>
        </w:rPr>
        <w:t>г.г</w:t>
      </w:r>
      <w:r>
        <w:rPr>
          <w:rFonts w:ascii="Times New Roman" w:hAnsi="Times New Roman"/>
          <w:sz w:val="28"/>
        </w:rPr>
        <w:t>.», утверждённой Постановлением №31 от 29 января 2024 года.</w:t>
      </w:r>
    </w:p>
    <w:p w14:paraId="2F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Финансирование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учреждений</w:t>
      </w:r>
      <w:r>
        <w:rPr>
          <w:rFonts w:ascii="Times New Roman" w:hAnsi="Times New Roman"/>
          <w:sz w:val="28"/>
        </w:rPr>
        <w:t xml:space="preserve"> культуры Дергачевского района из средств областного и местного бюджета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составило</w:t>
      </w:r>
      <w:r>
        <w:rPr>
          <w:rFonts w:ascii="Times New Roman" w:hAnsi="Times New Roman"/>
          <w:sz w:val="28"/>
        </w:rPr>
        <w:t xml:space="preserve"> 119,6 </w:t>
      </w:r>
      <w:r>
        <w:rPr>
          <w:rFonts w:ascii="Times New Roman" w:hAnsi="Times New Roman"/>
          <w:sz w:val="28"/>
        </w:rPr>
        <w:t>млн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 6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48,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>), из них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30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Заработная плата</w:t>
      </w:r>
      <w:r>
        <w:rPr>
          <w:rFonts w:ascii="Times New Roman" w:hAnsi="Times New Roman"/>
          <w:sz w:val="28"/>
        </w:rPr>
        <w:t xml:space="preserve"> 6,8 </w:t>
      </w:r>
      <w:r>
        <w:rPr>
          <w:rFonts w:ascii="Times New Roman" w:hAnsi="Times New Roman"/>
          <w:sz w:val="28"/>
        </w:rPr>
        <w:t>млн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68 9</w:t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00,00</w:t>
      </w:r>
      <w:r>
        <w:rPr>
          <w:rFonts w:ascii="Times New Roman" w:hAnsi="Times New Roman"/>
          <w:sz w:val="28"/>
        </w:rPr>
        <w:t xml:space="preserve"> рублей, (в </w:t>
      </w:r>
      <w:r>
        <w:rPr>
          <w:rFonts w:ascii="Times New Roman" w:hAnsi="Times New Roman"/>
          <w:sz w:val="28"/>
        </w:rPr>
        <w:t>т.ч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областные</w:t>
      </w:r>
      <w:r>
        <w:rPr>
          <w:rFonts w:ascii="Times New Roman" w:hAnsi="Times New Roman"/>
          <w:sz w:val="28"/>
        </w:rPr>
        <w:t xml:space="preserve"> 23 902 900,00</w:t>
      </w:r>
      <w:r>
        <w:rPr>
          <w:rFonts w:ascii="Times New Roman" w:hAnsi="Times New Roman"/>
          <w:sz w:val="28"/>
        </w:rPr>
        <w:t xml:space="preserve"> руб.)</w:t>
      </w:r>
      <w:r>
        <w:rPr>
          <w:rFonts w:ascii="Times New Roman" w:hAnsi="Times New Roman"/>
          <w:sz w:val="28"/>
        </w:rPr>
        <w:t>)</w:t>
      </w:r>
    </w:p>
    <w:p w14:paraId="31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начислени</w:t>
      </w:r>
      <w:r>
        <w:rPr>
          <w:rFonts w:ascii="Times New Roman" w:hAnsi="Times New Roman"/>
          <w:sz w:val="28"/>
        </w:rPr>
        <w:t>я на заработную плату (налоги) 20 </w:t>
      </w:r>
      <w:r>
        <w:rPr>
          <w:rFonts w:ascii="Times New Roman" w:hAnsi="Times New Roman"/>
          <w:sz w:val="28"/>
        </w:rPr>
        <w:t>813</w:t>
      </w:r>
      <w:r>
        <w:rPr>
          <w:rFonts w:ascii="Times New Roman" w:hAnsi="Times New Roman"/>
          <w:sz w:val="28"/>
        </w:rPr>
        <w:t xml:space="preserve"> 400,00 </w:t>
      </w:r>
      <w:r>
        <w:rPr>
          <w:rFonts w:ascii="Times New Roman" w:hAnsi="Times New Roman"/>
          <w:sz w:val="28"/>
        </w:rPr>
        <w:t xml:space="preserve">рублей, (в </w:t>
      </w:r>
      <w:r>
        <w:rPr>
          <w:rFonts w:ascii="Times New Roman" w:hAnsi="Times New Roman"/>
          <w:sz w:val="28"/>
        </w:rPr>
        <w:t>т.ч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областные</w:t>
      </w:r>
      <w:r>
        <w:rPr>
          <w:rFonts w:ascii="Times New Roman" w:hAnsi="Times New Roman"/>
          <w:sz w:val="28"/>
        </w:rPr>
        <w:t xml:space="preserve"> 7 218 700,00</w:t>
      </w:r>
      <w:r>
        <w:rPr>
          <w:rFonts w:ascii="Times New Roman" w:hAnsi="Times New Roman"/>
          <w:sz w:val="28"/>
        </w:rPr>
        <w:t xml:space="preserve"> руб.)</w:t>
      </w:r>
      <w:r>
        <w:rPr>
          <w:rFonts w:ascii="Times New Roman" w:hAnsi="Times New Roman"/>
          <w:sz w:val="28"/>
        </w:rPr>
        <w:t>.</w:t>
      </w:r>
    </w:p>
    <w:p w14:paraId="32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на коммунальные услуги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789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091</w:t>
      </w:r>
      <w:r>
        <w:rPr>
          <w:rFonts w:ascii="Times New Roman" w:hAnsi="Times New Roman"/>
          <w:sz w:val="28"/>
        </w:rPr>
        <w:t>,35</w:t>
      </w:r>
      <w:r>
        <w:rPr>
          <w:rFonts w:ascii="Times New Roman" w:hAnsi="Times New Roman"/>
          <w:sz w:val="28"/>
        </w:rPr>
        <w:t xml:space="preserve"> рублей;</w:t>
      </w:r>
    </w:p>
    <w:p w14:paraId="33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услуги связи </w:t>
      </w:r>
      <w:r>
        <w:rPr>
          <w:rFonts w:ascii="Times New Roman" w:hAnsi="Times New Roman"/>
          <w:sz w:val="28"/>
        </w:rPr>
        <w:t>462 500,00</w:t>
      </w:r>
      <w:r>
        <w:rPr>
          <w:rFonts w:ascii="Times New Roman" w:hAnsi="Times New Roman"/>
          <w:sz w:val="28"/>
        </w:rPr>
        <w:t xml:space="preserve"> рублей;</w:t>
      </w:r>
    </w:p>
    <w:p w14:paraId="34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прочие перечисления </w:t>
      </w:r>
      <w:r>
        <w:rPr>
          <w:rFonts w:ascii="Times New Roman" w:hAnsi="Times New Roman"/>
          <w:sz w:val="28"/>
        </w:rPr>
        <w:t>21 </w:t>
      </w:r>
      <w:r>
        <w:rPr>
          <w:rFonts w:ascii="Times New Roman" w:hAnsi="Times New Roman"/>
          <w:sz w:val="28"/>
        </w:rPr>
        <w:t>618</w:t>
      </w:r>
      <w:r>
        <w:rPr>
          <w:rFonts w:ascii="Times New Roman" w:hAnsi="Times New Roman"/>
          <w:sz w:val="28"/>
        </w:rPr>
        <w:t> 6</w:t>
      </w:r>
      <w:r>
        <w:rPr>
          <w:rFonts w:ascii="Times New Roman" w:hAnsi="Times New Roman"/>
          <w:sz w:val="28"/>
        </w:rPr>
        <w:t>57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рублей (текущий ремонт, услуги по содержанию имущества, приобретения основных средств и расходного, хозяйственного, канцелярского товаров).</w:t>
      </w:r>
    </w:p>
    <w:p w14:paraId="35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сполнение утвержденного бюджета за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месяцев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составило </w:t>
      </w:r>
      <w:r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606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401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рублей,</w:t>
      </w:r>
      <w:r>
        <w:rPr>
          <w:rFonts w:ascii="Times New Roman" w:hAnsi="Times New Roman"/>
          <w:sz w:val="28"/>
        </w:rPr>
        <w:t xml:space="preserve"> освоение бюджета составило </w:t>
      </w:r>
      <w:r>
        <w:rPr>
          <w:rFonts w:ascii="Times New Roman" w:hAnsi="Times New Roman"/>
          <w:sz w:val="28"/>
        </w:rPr>
        <w:t>64,0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%. </w:t>
      </w:r>
    </w:p>
    <w:p w14:paraId="36000000">
      <w:pPr>
        <w:spacing w:after="0" w:line="240" w:lineRule="auto"/>
        <w:ind w:firstLine="708"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месяцев 2025 г. </w:t>
      </w:r>
      <w:r>
        <w:rPr>
          <w:rFonts w:ascii="Times New Roman" w:hAnsi="Times New Roman"/>
          <w:sz w:val="28"/>
        </w:rPr>
        <w:t>в рамках проекта «Пушкинская карта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учреждениями культуры заработано </w:t>
      </w:r>
      <w:r>
        <w:rPr>
          <w:rFonts w:ascii="Times New Roman" w:hAnsi="Times New Roman"/>
          <w:sz w:val="28"/>
        </w:rPr>
        <w:t xml:space="preserve">548 566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(875 632,19)63%</w:t>
      </w:r>
      <w:r>
        <w:rPr>
          <w:rFonts w:ascii="Times New Roman" w:hAnsi="Times New Roman"/>
          <w:sz w:val="28"/>
        </w:rPr>
        <w:t>.</w:t>
      </w:r>
    </w:p>
    <w:p w14:paraId="37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sz w:val="28"/>
        </w:rPr>
        <w:t>На территории района сформировано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23 ку</w:t>
      </w:r>
      <w:r>
        <w:rPr>
          <w:rFonts w:ascii="Times New Roman" w:hAnsi="Times New Roman"/>
          <w:sz w:val="28"/>
        </w:rPr>
        <w:t>льтурно - досуговых учреждения:</w:t>
      </w:r>
      <w:r>
        <w:rPr>
          <w:rFonts w:ascii="Times New Roman" w:hAnsi="Times New Roman"/>
          <w:sz w:val="28"/>
        </w:rPr>
        <w:t xml:space="preserve"> Центральный Дом культуры, Молодежный Центр, 17 сельских Домов культуры, 2 сельских клуба, краеведческий музей, </w:t>
      </w:r>
      <w:r>
        <w:rPr>
          <w:rFonts w:ascii="Times New Roman" w:hAnsi="Times New Roman"/>
          <w:sz w:val="28"/>
        </w:rPr>
        <w:t>Дергачевский</w:t>
      </w:r>
      <w:r>
        <w:rPr>
          <w:rFonts w:ascii="Times New Roman" w:hAnsi="Times New Roman"/>
          <w:sz w:val="28"/>
        </w:rPr>
        <w:t xml:space="preserve"> «Дом кино».</w:t>
      </w:r>
    </w:p>
    <w:p w14:paraId="39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работающих в учреждениях культуры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на 01.10.2025 г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оставляет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 xml:space="preserve">, из них в </w:t>
      </w:r>
      <w:r>
        <w:rPr>
          <w:rFonts w:ascii="Times New Roman" w:hAnsi="Times New Roman"/>
          <w:sz w:val="28"/>
        </w:rPr>
        <w:t>МКДО – 75 чел., в МЦБ – 30 чел. Обеспечивают деятельность управления культуры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– 55 чел. (постоянные) и 54 чел. (операторы котельных) сезонные работники.</w:t>
      </w:r>
    </w:p>
    <w:p w14:paraId="3A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Средняя заработная плата работников учреждений культуры за 9 месяцев 2025 год составила  42031,23 рублей, что составило выполнение по дорожной карте 100,0 %.</w:t>
      </w:r>
    </w:p>
    <w:p w14:paraId="3B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Средняя заработная плата работников по обеспечению деятельности учреждений культуры МКУК «</w:t>
      </w:r>
      <w:r>
        <w:rPr>
          <w:rFonts w:ascii="Times New Roman" w:hAnsi="Times New Roman"/>
          <w:sz w:val="28"/>
        </w:rPr>
        <w:t>ОДУКиК</w:t>
      </w:r>
      <w:r>
        <w:rPr>
          <w:rFonts w:ascii="Times New Roman" w:hAnsi="Times New Roman"/>
          <w:sz w:val="28"/>
        </w:rPr>
        <w:t>» - 32775,92 руб.</w:t>
      </w:r>
    </w:p>
    <w:p w14:paraId="3C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В клубных учреждениях Дергачевско</w:t>
      </w:r>
      <w:r>
        <w:rPr>
          <w:rFonts w:ascii="Times New Roman" w:hAnsi="Times New Roman"/>
          <w:sz w:val="28"/>
        </w:rPr>
        <w:t>го района  действуют 191 клубное формирование</w:t>
      </w:r>
      <w:r>
        <w:rPr>
          <w:rFonts w:ascii="Times New Roman" w:hAnsi="Times New Roman"/>
          <w:sz w:val="28"/>
        </w:rPr>
        <w:t xml:space="preserve"> (в том числе для детей 91), с </w:t>
      </w:r>
      <w:r>
        <w:rPr>
          <w:rFonts w:ascii="Times New Roman" w:hAnsi="Times New Roman"/>
          <w:sz w:val="28"/>
        </w:rPr>
        <w:t>общей численностью 2490 человек</w:t>
      </w:r>
      <w:r>
        <w:rPr>
          <w:rFonts w:ascii="Times New Roman" w:hAnsi="Times New Roman"/>
          <w:sz w:val="28"/>
        </w:rPr>
        <w:t xml:space="preserve"> (из них 1224 детей).</w:t>
      </w:r>
    </w:p>
    <w:p w14:paraId="3E000000">
      <w:pPr>
        <w:spacing w:after="0" w:line="240" w:lineRule="auto"/>
        <w:ind/>
        <w:jc w:val="both"/>
        <w:rPr>
          <w:sz w:val="28"/>
        </w:rPr>
      </w:pPr>
      <w:r>
        <w:t xml:space="preserve">        </w:t>
      </w:r>
      <w:r>
        <w:t xml:space="preserve">   </w:t>
      </w:r>
      <w:r>
        <w:rPr>
          <w:rFonts w:ascii="Times New Roman" w:hAnsi="Times New Roman"/>
          <w:sz w:val="28"/>
        </w:rPr>
        <w:t>Штатная численность МКДО 70,25 единиц, занято 63,25 единиц, вакантно 7,0</w:t>
      </w:r>
      <w:r>
        <w:rPr>
          <w:rFonts w:ascii="Times New Roman" w:hAnsi="Times New Roman"/>
          <w:sz w:val="28"/>
        </w:rPr>
        <w:t xml:space="preserve"> единиц:</w:t>
      </w:r>
      <w:r>
        <w:rPr>
          <w:sz w:val="28"/>
        </w:rPr>
        <w:t xml:space="preserve"> 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Руководитель кружка</w:t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fldChar w:fldCharType="begin"/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instrText>HYPERLINK "https://trudvsem.ru/auth/manager/vacancies/view?viewType=VIEW&amp;id=26146389-ac7b-11ef-a6ba-e7d0d2cf29b1"</w:instrText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fldChar w:fldCharType="separate"/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t xml:space="preserve"> (дирижер духового оркестра)</w:t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ЦДК</w:t>
      </w:r>
      <w:r>
        <w:rPr>
          <w:rFonts w:ascii="Times New Roman" w:hAnsi="Times New Roman"/>
          <w:sz w:val="28"/>
        </w:rPr>
        <w:t xml:space="preserve"> – земский культработник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fldChar w:fldCharType="begin"/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instrText>HYPERLINK "https://trudvsem.ru/auth/manager/vacancies/view?viewType=VIEW&amp;id=36c51289-37a2-11f0-9d0b-e7d0d2cf29b1"</w:instrText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fldChar w:fldCharType="separate"/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t>Хореограф</w:t>
      </w:r>
      <w:r>
        <w:rPr>
          <w:rFonts w:ascii="Times New Roman" w:hAnsi="Times New Roman"/>
          <w:color w:val="000000"/>
          <w:spacing w:val="3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ЦД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земский культработник</w:t>
      </w:r>
    </w:p>
    <w:p w14:paraId="4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3.Методист 2 категории ЦДК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Аккомпаниатор (баян) ЦД</w:t>
      </w:r>
      <w:r>
        <w:rPr>
          <w:rFonts w:ascii="Times New Roman" w:hAnsi="Times New Roman"/>
          <w:sz w:val="28"/>
        </w:rPr>
        <w:t>К–</w:t>
      </w:r>
      <w:r>
        <w:rPr>
          <w:rFonts w:ascii="Times New Roman" w:hAnsi="Times New Roman"/>
          <w:sz w:val="28"/>
        </w:rPr>
        <w:t xml:space="preserve"> земский культработник</w:t>
      </w:r>
    </w:p>
    <w:p w14:paraId="4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Заведующий от</w:t>
      </w:r>
      <w:r>
        <w:rPr>
          <w:rFonts w:ascii="Times New Roman" w:hAnsi="Times New Roman"/>
          <w:sz w:val="28"/>
        </w:rPr>
        <w:t>делом 3 группы  (звукооператор)</w:t>
      </w:r>
      <w:r>
        <w:rPr>
          <w:rFonts w:ascii="Times New Roman" w:hAnsi="Times New Roman"/>
          <w:sz w:val="28"/>
        </w:rPr>
        <w:t xml:space="preserve">  ЦДК</w:t>
      </w:r>
    </w:p>
    <w:p w14:paraId="4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Концертмейстер</w:t>
      </w:r>
      <w:r>
        <w:rPr>
          <w:rFonts w:ascii="Times New Roman" w:hAnsi="Times New Roman"/>
          <w:sz w:val="28"/>
        </w:rPr>
        <w:t xml:space="preserve"> ЦДК</w:t>
      </w:r>
    </w:p>
    <w:p w14:paraId="4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Культорганизатор</w:t>
      </w:r>
      <w:r>
        <w:rPr>
          <w:rFonts w:ascii="Times New Roman" w:hAnsi="Times New Roman"/>
          <w:sz w:val="28"/>
        </w:rPr>
        <w:t xml:space="preserve"> ЦД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земский культработник</w:t>
      </w:r>
    </w:p>
    <w:p w14:paraId="46000000">
      <w:pPr>
        <w:tabs>
          <w:tab w:leader="none" w:pos="2548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Штатная численность МЦБ 23,75 единиц, занято 19,75 единиц, вакантно 4,0 единиц</w:t>
      </w:r>
      <w:r>
        <w:rPr>
          <w:rFonts w:ascii="Times New Roman" w:hAnsi="Times New Roman"/>
          <w:sz w:val="28"/>
        </w:rPr>
        <w:t xml:space="preserve"> (заведующие Октябрьской, </w:t>
      </w:r>
      <w:r>
        <w:rPr>
          <w:rFonts w:ascii="Times New Roman" w:hAnsi="Times New Roman"/>
          <w:sz w:val="28"/>
        </w:rPr>
        <w:t>Верхазовской</w:t>
      </w:r>
      <w:r>
        <w:rPr>
          <w:rFonts w:ascii="Times New Roman" w:hAnsi="Times New Roman"/>
          <w:sz w:val="28"/>
        </w:rPr>
        <w:t xml:space="preserve">, Первомайской, </w:t>
      </w:r>
      <w:r>
        <w:rPr>
          <w:rFonts w:ascii="Times New Roman" w:hAnsi="Times New Roman"/>
          <w:sz w:val="28"/>
        </w:rPr>
        <w:t>Новоросляевской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СБ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</w:t>
      </w:r>
    </w:p>
    <w:p w14:paraId="47000000">
      <w:pPr>
        <w:spacing w:after="14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         </w:t>
      </w:r>
      <w:r>
        <w:rPr>
          <w:rFonts w:ascii="Times New Roman" w:hAnsi="Times New Roman"/>
          <w:sz w:val="28"/>
          <w:highlight w:val="white"/>
        </w:rPr>
        <w:t>В 2025 году продолжена реализация мероприятий</w:t>
      </w:r>
      <w:r>
        <w:rPr>
          <w:rFonts w:ascii="Times New Roman" w:hAnsi="Times New Roman"/>
          <w:sz w:val="28"/>
          <w:highlight w:val="white"/>
        </w:rPr>
        <w:t xml:space="preserve"> в рамках национальных проектов и государственных программ: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14:paraId="4800000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в рамках федерального проекта «Культура малой Родины» </w:t>
      </w:r>
      <w:r>
        <w:rPr>
          <w:rFonts w:ascii="Times New Roman" w:hAnsi="Times New Roman"/>
          <w:color w:val="000000"/>
          <w:sz w:val="28"/>
          <w:highlight w:val="white"/>
        </w:rPr>
        <w:t>дополнительно привлечено денежных сре</w:t>
      </w:r>
      <w:r>
        <w:rPr>
          <w:rFonts w:ascii="Times New Roman" w:hAnsi="Times New Roman"/>
          <w:color w:val="000000"/>
          <w:sz w:val="28"/>
          <w:highlight w:val="white"/>
        </w:rPr>
        <w:t>дств в с</w:t>
      </w:r>
      <w:r>
        <w:rPr>
          <w:rFonts w:ascii="Times New Roman" w:hAnsi="Times New Roman"/>
          <w:color w:val="000000"/>
          <w:sz w:val="28"/>
          <w:highlight w:val="white"/>
        </w:rPr>
        <w:t>умме 3,5 млн. рублей (</w:t>
      </w:r>
      <w:r>
        <w:rPr>
          <w:rFonts w:ascii="Times New Roman" w:hAnsi="Times New Roman"/>
          <w:color w:val="000000"/>
          <w:sz w:val="28"/>
          <w:highlight w:val="white"/>
        </w:rPr>
        <w:t>2 424 753,30 рублей с федерального и 1 048 918,61 рублей с областного бюджета</w:t>
      </w:r>
      <w:r>
        <w:rPr>
          <w:rFonts w:ascii="Times New Roman" w:hAnsi="Times New Roman"/>
          <w:color w:val="000000"/>
          <w:sz w:val="28"/>
          <w:highlight w:val="white"/>
        </w:rPr>
        <w:t>)</w:t>
      </w:r>
      <w:r>
        <w:rPr>
          <w:rFonts w:ascii="Times New Roman" w:hAnsi="Times New Roman"/>
          <w:color w:val="000000"/>
          <w:sz w:val="28"/>
          <w:highlight w:val="white"/>
        </w:rPr>
        <w:t xml:space="preserve">. Выполнены работы по ремонту кровли и здания СДК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Антоновка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на 2 886 700,01 рублей </w:t>
      </w:r>
      <w:r>
        <w:rPr>
          <w:rFonts w:ascii="Times New Roman" w:hAnsi="Times New Roman"/>
          <w:color w:val="000000"/>
          <w:sz w:val="24"/>
          <w:highlight w:val="white"/>
        </w:rPr>
        <w:t>(из них - 2 569 163,00 рублей с федерального бюджета, 317 537,01 рублей с областного бюджета, дополнительные работы на 184 867,11,00 рублей с иной приносящей доход деятельности)</w:t>
      </w:r>
      <w:r>
        <w:rPr>
          <w:rFonts w:ascii="Times New Roman" w:hAnsi="Times New Roman"/>
          <w:color w:val="000000"/>
          <w:sz w:val="28"/>
          <w:highlight w:val="white"/>
        </w:rPr>
        <w:t xml:space="preserve">. Приобретена музыкальная аппаратура на  сумму 586 971,91 рублей для СДК с. </w:t>
      </w:r>
      <w:r>
        <w:rPr>
          <w:rFonts w:ascii="Times New Roman" w:hAnsi="Times New Roman"/>
          <w:color w:val="000000"/>
          <w:sz w:val="28"/>
          <w:highlight w:val="white"/>
        </w:rPr>
        <w:t>Сафаровка</w:t>
      </w:r>
      <w:r>
        <w:rPr>
          <w:rFonts w:ascii="Times New Roman" w:hAnsi="Times New Roman"/>
          <w:color w:val="000000"/>
          <w:sz w:val="28"/>
          <w:highlight w:val="white"/>
        </w:rPr>
        <w:t xml:space="preserve">, СДК п. </w:t>
      </w:r>
      <w:r>
        <w:rPr>
          <w:rFonts w:ascii="Times New Roman" w:hAnsi="Times New Roman"/>
          <w:color w:val="000000"/>
          <w:sz w:val="28"/>
          <w:highlight w:val="white"/>
        </w:rPr>
        <w:t>Восточный</w:t>
      </w:r>
      <w:r>
        <w:rPr>
          <w:rFonts w:ascii="Times New Roman" w:hAnsi="Times New Roman"/>
          <w:color w:val="000000"/>
          <w:sz w:val="28"/>
          <w:highlight w:val="white"/>
        </w:rPr>
        <w:t>, СДК с. Антоновка, СДК п. Мирный.</w:t>
      </w:r>
    </w:p>
    <w:p w14:paraId="4900000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в рамках государственной программы «Культура Саратовской области» (проект 50 домов культуры) было выделено 500 000,0 рублей из областного бюджета на  текущий ремонт кровли СДК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. Петропавловка. Общая сумма по контракту выполненных работ составила 1 513 176, 20 рублей, из них 500 000,0 рублей областной бюджет и 1013 176,20 рублей местный бюджет. </w:t>
      </w:r>
    </w:p>
    <w:p w14:paraId="4A00000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в рамках государственной поддержки отрасли культуры (комплектование книжных фондов библиотек муниципальных образований и государственных общедоступных библиотек) было приобретено книжной продукции на сумму  59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617,08 рублей в МБУК "</w:t>
      </w:r>
      <w:r>
        <w:rPr>
          <w:rFonts w:ascii="Times New Roman" w:hAnsi="Times New Roman"/>
          <w:color w:val="000000"/>
          <w:sz w:val="28"/>
          <w:highlight w:val="white"/>
        </w:rPr>
        <w:t>Дергачевская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МЦБ".</w:t>
      </w:r>
    </w:p>
    <w:p w14:paraId="4B00000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 в рамках государственной поддержки отрасли культуры (государственная поддержка лучших сельских учреждений культуры) закуплено оборудование (</w:t>
      </w:r>
      <w:r>
        <w:rPr>
          <w:rFonts w:ascii="Times New Roman" w:hAnsi="Times New Roman"/>
          <w:color w:val="000000"/>
          <w:sz w:val="28"/>
          <w:highlight w:val="white"/>
        </w:rPr>
        <w:t>акустич</w:t>
      </w:r>
      <w:r>
        <w:rPr>
          <w:rFonts w:ascii="Times New Roman" w:hAnsi="Times New Roman"/>
          <w:color w:val="000000"/>
          <w:sz w:val="28"/>
          <w:highlight w:val="white"/>
        </w:rPr>
        <w:t>. система, кабель, переходники) для СДК п. Орошаемый на сумму 112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359,55 рублей.</w:t>
      </w:r>
    </w:p>
    <w:p w14:paraId="4C000000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  <w:highlight w:val="white"/>
        </w:rPr>
        <w:t xml:space="preserve"> текущем году впервые получены денежные средства в рамках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региональной программы</w:t>
      </w:r>
      <w:r>
        <w:rPr>
          <w:rFonts w:ascii="Times New Roman" w:hAnsi="Times New Roman"/>
          <w:sz w:val="28"/>
          <w:highlight w:val="white"/>
        </w:rPr>
        <w:t xml:space="preserve"> «Развитие крупных отдаленных малонаселенных муниципальных образований Саратовской области на 2025-2027 годы»</w:t>
      </w:r>
      <w:r>
        <w:rPr>
          <w:rFonts w:ascii="Times New Roman" w:hAnsi="Times New Roman"/>
          <w:sz w:val="28"/>
          <w:highlight w:val="white"/>
        </w:rPr>
        <w:t>:</w:t>
      </w:r>
    </w:p>
    <w:p w14:paraId="4D000000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9 </w:t>
      </w:r>
      <w:r>
        <w:rPr>
          <w:rFonts w:ascii="Times New Roman" w:hAnsi="Times New Roman"/>
          <w:sz w:val="28"/>
          <w:highlight w:val="white"/>
        </w:rPr>
        <w:t>млн</w:t>
      </w:r>
      <w:r>
        <w:rPr>
          <w:rFonts w:ascii="Times New Roman" w:hAnsi="Times New Roman"/>
          <w:sz w:val="28"/>
          <w:highlight w:val="white"/>
        </w:rPr>
        <w:t>.р</w:t>
      </w:r>
      <w:r>
        <w:rPr>
          <w:rFonts w:ascii="Times New Roman" w:hAnsi="Times New Roman"/>
          <w:sz w:val="28"/>
          <w:highlight w:val="white"/>
        </w:rPr>
        <w:t>ублей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выделено из областного бюджета на капитальный ремонт </w:t>
      </w:r>
      <w:r>
        <w:rPr>
          <w:rFonts w:ascii="Times New Roman" w:hAnsi="Times New Roman"/>
          <w:sz w:val="28"/>
          <w:highlight w:val="white"/>
        </w:rPr>
        <w:t>Демьясского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СДК;</w:t>
      </w:r>
    </w:p>
    <w:p w14:paraId="4E000000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 500 </w:t>
      </w:r>
      <w:r>
        <w:rPr>
          <w:rFonts w:ascii="Times New Roman" w:hAnsi="Times New Roman"/>
          <w:sz w:val="28"/>
          <w:highlight w:val="white"/>
        </w:rPr>
        <w:t>тыс.рублей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рублей</w:t>
      </w:r>
      <w:r>
        <w:rPr>
          <w:rFonts w:ascii="Times New Roman" w:hAnsi="Times New Roman"/>
          <w:sz w:val="28"/>
          <w:highlight w:val="white"/>
        </w:rPr>
        <w:t xml:space="preserve"> на приобретение музыкального оборудования для СДК п. Восточный. </w:t>
      </w:r>
    </w:p>
    <w:p w14:paraId="4F000000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- 3 млн. рублей выделено н</w:t>
      </w:r>
      <w:r>
        <w:rPr>
          <w:rFonts w:ascii="Times New Roman" w:hAnsi="Times New Roman"/>
          <w:sz w:val="28"/>
          <w:highlight w:val="white"/>
        </w:rPr>
        <w:t>а укрепление материально-технической базы учреждений культурно-досугового типа в целях оснащения коллективов имеющих звание «Народный». Приобретено музыкальное оборудование для хора «Ветеранов»</w:t>
      </w:r>
      <w:r>
        <w:rPr>
          <w:rFonts w:ascii="Times New Roman" w:hAnsi="Times New Roman"/>
          <w:sz w:val="28"/>
          <w:highlight w:val="white"/>
        </w:rPr>
        <w:t>, народного</w:t>
      </w:r>
      <w:r>
        <w:rPr>
          <w:rFonts w:ascii="Times New Roman" w:hAnsi="Times New Roman"/>
          <w:sz w:val="28"/>
          <w:highlight w:val="white"/>
        </w:rPr>
        <w:t xml:space="preserve"> хор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«Березка» СДК </w:t>
      </w:r>
      <w:r>
        <w:rPr>
          <w:rFonts w:ascii="Times New Roman" w:hAnsi="Times New Roman"/>
          <w:sz w:val="28"/>
          <w:highlight w:val="white"/>
        </w:rPr>
        <w:t>с</w:t>
      </w:r>
      <w:r>
        <w:rPr>
          <w:rFonts w:ascii="Times New Roman" w:hAnsi="Times New Roman"/>
          <w:sz w:val="28"/>
          <w:highlight w:val="white"/>
        </w:rPr>
        <w:t>.П</w:t>
      </w:r>
      <w:r>
        <w:rPr>
          <w:rFonts w:ascii="Times New Roman" w:hAnsi="Times New Roman"/>
          <w:sz w:val="28"/>
          <w:highlight w:val="white"/>
        </w:rPr>
        <w:t>ервомайский</w:t>
      </w:r>
      <w:r>
        <w:rPr>
          <w:rFonts w:ascii="Times New Roman" w:hAnsi="Times New Roman"/>
          <w:sz w:val="28"/>
          <w:highlight w:val="white"/>
        </w:rPr>
        <w:t>, ВИА «Парадокс». Производится пошив сценических костюмов для хора «Ветеранов»</w:t>
      </w:r>
      <w:r>
        <w:rPr>
          <w:rFonts w:ascii="Times New Roman" w:hAnsi="Times New Roman"/>
          <w:sz w:val="28"/>
          <w:highlight w:val="white"/>
        </w:rPr>
        <w:t xml:space="preserve"> и</w:t>
      </w:r>
      <w:r>
        <w:rPr>
          <w:rFonts w:ascii="Times New Roman" w:hAnsi="Times New Roman"/>
          <w:sz w:val="28"/>
          <w:highlight w:val="white"/>
        </w:rPr>
        <w:t xml:space="preserve"> народного хора «Березка» СДК </w:t>
      </w:r>
      <w:r>
        <w:rPr>
          <w:rFonts w:ascii="Times New Roman" w:hAnsi="Times New Roman"/>
          <w:sz w:val="28"/>
          <w:highlight w:val="white"/>
        </w:rPr>
        <w:t>с</w:t>
      </w:r>
      <w:r>
        <w:rPr>
          <w:rFonts w:ascii="Times New Roman" w:hAnsi="Times New Roman"/>
          <w:sz w:val="28"/>
          <w:highlight w:val="white"/>
        </w:rPr>
        <w:t>. Первомайский.</w:t>
      </w:r>
    </w:p>
    <w:p w14:paraId="50000000">
      <w:pPr>
        <w:spacing w:after="0" w:line="240" w:lineRule="auto"/>
        <w:ind w:firstLine="708"/>
        <w:rPr>
          <w:rFonts w:ascii="Times New Roman" w:hAnsi="Times New Roman"/>
          <w:color w:val="1A1A1A"/>
          <w:sz w:val="28"/>
        </w:rPr>
      </w:pPr>
    </w:p>
    <w:p w14:paraId="51000000">
      <w:pPr>
        <w:spacing w:after="0" w:line="240" w:lineRule="auto"/>
        <w:ind w:firstLine="708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Кроме реализации государственных и региональных программ, учреждениями культуры </w:t>
      </w:r>
      <w:r>
        <w:rPr>
          <w:rFonts w:ascii="Times New Roman" w:hAnsi="Times New Roman"/>
          <w:color w:val="1A1A1A"/>
          <w:sz w:val="28"/>
        </w:rPr>
        <w:t xml:space="preserve">приобретались </w:t>
      </w:r>
      <w:r>
        <w:rPr>
          <w:rFonts w:ascii="Times New Roman" w:hAnsi="Times New Roman"/>
          <w:color w:val="1A1A1A"/>
          <w:sz w:val="28"/>
        </w:rPr>
        <w:t xml:space="preserve"> за счет приносящей доход деятельности</w:t>
      </w:r>
      <w:r>
        <w:rPr>
          <w:rFonts w:ascii="Times New Roman" w:hAnsi="Times New Roman"/>
          <w:color w:val="1A1A1A"/>
          <w:sz w:val="28"/>
        </w:rPr>
        <w:t xml:space="preserve"> костюмы, мебель, стенды, стеллажи на общую сумму 383,4 </w:t>
      </w:r>
      <w:r>
        <w:rPr>
          <w:rFonts w:ascii="Times New Roman" w:hAnsi="Times New Roman"/>
          <w:color w:val="1A1A1A"/>
          <w:sz w:val="28"/>
        </w:rPr>
        <w:t>тыс</w:t>
      </w:r>
      <w:r>
        <w:rPr>
          <w:rFonts w:ascii="Times New Roman" w:hAnsi="Times New Roman"/>
          <w:color w:val="1A1A1A"/>
          <w:sz w:val="28"/>
        </w:rPr>
        <w:t>.р</w:t>
      </w:r>
      <w:r>
        <w:rPr>
          <w:rFonts w:ascii="Times New Roman" w:hAnsi="Times New Roman"/>
          <w:color w:val="1A1A1A"/>
          <w:sz w:val="28"/>
        </w:rPr>
        <w:t>ублей</w:t>
      </w:r>
      <w:r>
        <w:rPr>
          <w:rFonts w:ascii="Times New Roman" w:hAnsi="Times New Roman"/>
          <w:color w:val="1A1A1A"/>
          <w:sz w:val="28"/>
        </w:rPr>
        <w:t>.</w:t>
      </w:r>
    </w:p>
    <w:p w14:paraId="52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53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 xml:space="preserve">        </w:t>
      </w:r>
      <w:r>
        <w:rPr>
          <w:rFonts w:ascii="Times New Roman" w:hAnsi="Times New Roman"/>
          <w:sz w:val="28"/>
        </w:rPr>
        <w:t xml:space="preserve">В рамках подготовки к отопительному сезону за счет </w:t>
      </w:r>
      <w:r>
        <w:rPr>
          <w:rFonts w:ascii="Times New Roman" w:hAnsi="Times New Roman"/>
          <w:sz w:val="28"/>
        </w:rPr>
        <w:t>средств местного бюджета</w:t>
      </w:r>
      <w:r>
        <w:rPr>
          <w:rFonts w:ascii="Times New Roman" w:hAnsi="Times New Roman"/>
          <w:sz w:val="28"/>
        </w:rPr>
        <w:t xml:space="preserve"> приобретены циркулирующие насосы, котлы на сумму 1,1 </w:t>
      </w:r>
      <w:r>
        <w:rPr>
          <w:rFonts w:ascii="Times New Roman" w:hAnsi="Times New Roman"/>
          <w:sz w:val="28"/>
        </w:rPr>
        <w:t>млн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. </w:t>
      </w:r>
    </w:p>
    <w:p w14:paraId="54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32"/>
        </w:rPr>
      </w:pPr>
    </w:p>
    <w:p w14:paraId="55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текущем году п</w:t>
      </w:r>
      <w:r>
        <w:rPr>
          <w:rFonts w:ascii="Times New Roman" w:hAnsi="Times New Roman"/>
          <w:sz w:val="28"/>
        </w:rPr>
        <w:t>роведен ремон</w:t>
      </w:r>
      <w:r>
        <w:rPr>
          <w:rFonts w:ascii="Times New Roman" w:hAnsi="Times New Roman"/>
          <w:sz w:val="28"/>
        </w:rPr>
        <w:t xml:space="preserve">т кровли </w:t>
      </w:r>
      <w:r>
        <w:rPr>
          <w:rFonts w:ascii="Times New Roman" w:hAnsi="Times New Roman"/>
          <w:sz w:val="28"/>
        </w:rPr>
        <w:t>Краеведчевского</w:t>
      </w:r>
      <w:r>
        <w:rPr>
          <w:rFonts w:ascii="Times New Roman" w:hAnsi="Times New Roman"/>
          <w:sz w:val="28"/>
        </w:rPr>
        <w:t xml:space="preserve"> музея, на общую сумму</w:t>
      </w:r>
      <w:r>
        <w:rPr>
          <w:rFonts w:ascii="Times New Roman" w:hAnsi="Times New Roman"/>
          <w:sz w:val="28"/>
        </w:rPr>
        <w:t xml:space="preserve"> 571 </w:t>
      </w:r>
      <w:r>
        <w:rPr>
          <w:rFonts w:ascii="Times New Roman" w:hAnsi="Times New Roman"/>
          <w:sz w:val="28"/>
        </w:rPr>
        <w:t>311,60 рублей (</w:t>
      </w:r>
      <w:r>
        <w:rPr>
          <w:rFonts w:ascii="Times New Roman" w:hAnsi="Times New Roman"/>
          <w:sz w:val="28"/>
        </w:rPr>
        <w:t xml:space="preserve">400 тысяч </w:t>
      </w:r>
      <w:r>
        <w:rPr>
          <w:rFonts w:ascii="Times New Roman" w:hAnsi="Times New Roman"/>
          <w:sz w:val="28"/>
        </w:rPr>
        <w:t>внебюджет</w:t>
      </w:r>
      <w:r>
        <w:rPr>
          <w:rFonts w:ascii="Times New Roman" w:hAnsi="Times New Roman"/>
          <w:sz w:val="28"/>
        </w:rPr>
        <w:t xml:space="preserve"> (из них спонсорские 100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171 311,60 местный бюджет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56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За счет спонсорских средств в</w:t>
      </w:r>
      <w:r>
        <w:rPr>
          <w:rFonts w:ascii="Times New Roman" w:hAnsi="Times New Roman"/>
          <w:sz w:val="28"/>
        </w:rPr>
        <w:t xml:space="preserve"> настоящее время ведется пошив костюмов для хора «</w:t>
      </w:r>
      <w:r>
        <w:rPr>
          <w:rFonts w:ascii="Times New Roman" w:hAnsi="Times New Roman"/>
          <w:sz w:val="28"/>
        </w:rPr>
        <w:t>Россияночка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Демьясского</w:t>
      </w:r>
      <w:r>
        <w:rPr>
          <w:rFonts w:ascii="Times New Roman" w:hAnsi="Times New Roman"/>
          <w:sz w:val="28"/>
        </w:rPr>
        <w:t xml:space="preserve"> СДК.</w:t>
      </w:r>
      <w:r>
        <w:rPr>
          <w:rFonts w:ascii="Times New Roman" w:hAnsi="Times New Roman"/>
          <w:sz w:val="28"/>
        </w:rPr>
        <w:t xml:space="preserve"> </w:t>
      </w:r>
    </w:p>
    <w:p w14:paraId="58000000">
      <w:pPr>
        <w:tabs>
          <w:tab w:leader="none" w:pos="2548" w:val="left"/>
        </w:tabs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59000000">
      <w:pPr>
        <w:spacing w:after="0" w:line="240" w:lineRule="auto"/>
        <w:ind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В </w:t>
      </w:r>
      <w:r>
        <w:rPr>
          <w:rFonts w:ascii="Times New Roman" w:hAnsi="Times New Roman"/>
          <w:sz w:val="28"/>
        </w:rPr>
        <w:t xml:space="preserve">целях привлечения дополнительных средств, в </w:t>
      </w:r>
      <w:r>
        <w:rPr>
          <w:rFonts w:ascii="Times New Roman" w:hAnsi="Times New Roman"/>
          <w:sz w:val="28"/>
        </w:rPr>
        <w:t xml:space="preserve">текущем году сотрудники культуры района стали участниками конкурсов и грантов. Поданы заявки на участие: </w:t>
      </w:r>
    </w:p>
    <w:p w14:paraId="5A000000">
      <w:pPr>
        <w:spacing w:after="0" w:line="240" w:lineRule="auto"/>
        <w:ind w:right="107"/>
        <w:jc w:val="both"/>
        <w:rPr>
          <w:rFonts w:ascii="Times New Roman" w:hAnsi="Times New Roman"/>
          <w:sz w:val="28"/>
        </w:rPr>
      </w:pPr>
    </w:p>
    <w:p w14:paraId="5B000000">
      <w:pPr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>Конкурс на предоставление субсидии из федерального бюджета на модернизацию учреждений культуры (Молодежный центр)</w:t>
      </w:r>
      <w:r>
        <w:rPr>
          <w:rFonts w:ascii="Times New Roman" w:hAnsi="Times New Roman"/>
          <w:b w:val="1"/>
          <w:sz w:val="28"/>
        </w:rPr>
        <w:t>.</w:t>
      </w:r>
    </w:p>
    <w:p w14:paraId="5C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Социально-значимые и инклюзивные проекты – проект «Спортивный клуб на базе дома культуры – модель развития». Субсидия (с </w:t>
      </w:r>
      <w:r>
        <w:rPr>
          <w:rFonts w:ascii="Times New Roman" w:hAnsi="Times New Roman"/>
          <w:sz w:val="28"/>
        </w:rPr>
        <w:t>софинансированием</w:t>
      </w:r>
      <w:r>
        <w:rPr>
          <w:rFonts w:ascii="Times New Roman" w:hAnsi="Times New Roman"/>
          <w:sz w:val="28"/>
        </w:rPr>
        <w:t>) на ремонт и модернизацию МЦ на сумму 3 000 000 рублей.</w:t>
      </w:r>
    </w:p>
    <w:p w14:paraId="5D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подана 04.08.2025 г – Итоги 15.12.2025 г.</w:t>
      </w:r>
    </w:p>
    <w:p w14:paraId="5E000000">
      <w:pPr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П</w:t>
      </w:r>
      <w:r>
        <w:rPr>
          <w:rFonts w:ascii="Times New Roman" w:hAnsi="Times New Roman"/>
          <w:b w:val="1"/>
          <w:sz w:val="28"/>
        </w:rPr>
        <w:t xml:space="preserve">резидентский </w:t>
      </w:r>
      <w:r>
        <w:rPr>
          <w:rFonts w:ascii="Times New Roman" w:hAnsi="Times New Roman"/>
          <w:b w:val="1"/>
          <w:sz w:val="28"/>
        </w:rPr>
        <w:t>Ф</w:t>
      </w:r>
      <w:r>
        <w:rPr>
          <w:rFonts w:ascii="Times New Roman" w:hAnsi="Times New Roman"/>
          <w:b w:val="1"/>
          <w:sz w:val="28"/>
        </w:rPr>
        <w:t xml:space="preserve">онд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 xml:space="preserve">ультурных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>нициатив</w:t>
      </w:r>
      <w:r>
        <w:rPr>
          <w:rFonts w:ascii="Times New Roman" w:hAnsi="Times New Roman"/>
          <w:b w:val="1"/>
          <w:sz w:val="28"/>
        </w:rPr>
        <w:t xml:space="preserve"> – итоги 10.11.2025 г.</w:t>
      </w:r>
    </w:p>
    <w:p w14:paraId="5F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Проект «О героях былых времён» - передвижная тематическая выставка, посвященная землякам – участникам Великой Отечественной войны.</w:t>
      </w:r>
    </w:p>
    <w:p w14:paraId="60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– 1 000 000 рублей</w:t>
      </w:r>
    </w:p>
    <w:p w14:paraId="61000000">
      <w:pPr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Гранд (президентский) – итоги 2 квартал 2026 года</w:t>
      </w:r>
    </w:p>
    <w:p w14:paraId="62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«О героях былых времён» - передвижная тематическая выставка, посвященная землякам – участникам Великой Отечественной войны. Краеведческий музей.</w:t>
      </w:r>
    </w:p>
    <w:p w14:paraId="63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– 1 000 000 рублей</w:t>
      </w:r>
    </w:p>
    <w:p w14:paraId="64000000">
      <w:pPr>
        <w:numPr>
          <w:ilvl w:val="0"/>
          <w:numId w:val="1"/>
        </w:numPr>
        <w:ind w:hanging="360" w:left="720"/>
        <w:jc w:val="both"/>
        <w:rPr>
          <w:sz w:val="28"/>
        </w:rPr>
      </w:pPr>
      <w:r>
        <w:rPr>
          <w:b w:val="1"/>
          <w:sz w:val="28"/>
        </w:rPr>
        <w:t>Всероссийская общественная премия «Гордость нации – 2025 г.»</w:t>
      </w:r>
      <w:r>
        <w:rPr>
          <w:sz w:val="28"/>
        </w:rPr>
        <w:t>, заявка подана 15.09.2025 г. (Солодовников А.Б. номинация:</w:t>
      </w:r>
      <w:r>
        <w:rPr>
          <w:sz w:val="28"/>
        </w:rPr>
        <w:t xml:space="preserve"> </w:t>
      </w:r>
      <w:r>
        <w:rPr>
          <w:sz w:val="28"/>
        </w:rPr>
        <w:t>«За вклад в сохранение и развитие культуры народов России»).</w:t>
      </w:r>
    </w:p>
    <w:p w14:paraId="65000000">
      <w:pPr>
        <w:numPr>
          <w:ilvl w:val="0"/>
          <w:numId w:val="1"/>
        </w:numPr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 рамках Федерального проекта «Семейные ценности и инфраструктура культуры» национального проекта «Семья» </w:t>
      </w:r>
      <w:r>
        <w:rPr>
          <w:rFonts w:ascii="Times New Roman" w:hAnsi="Times New Roman"/>
          <w:b w:val="1"/>
          <w:sz w:val="28"/>
        </w:rPr>
        <w:t>МБУК «ДМЦБ»</w:t>
      </w:r>
      <w:r>
        <w:rPr>
          <w:rFonts w:ascii="Times New Roman" w:hAnsi="Times New Roman"/>
          <w:sz w:val="28"/>
        </w:rPr>
        <w:t xml:space="preserve"> подали заявку на участие в отборе на создание детских культурно-просветительских центров на базе государственных и муниципальных библиотек (04.08.2025 г. по 25.12.2025 г. (заявка на проверке).</w:t>
      </w:r>
      <w:r>
        <w:rPr>
          <w:rFonts w:ascii="Times New Roman" w:hAnsi="Times New Roman"/>
          <w:sz w:val="28"/>
        </w:rPr>
        <w:t xml:space="preserve"> В рамках данного проекта будет создан </w:t>
      </w:r>
      <w:r>
        <w:rPr>
          <w:rFonts w:ascii="Times New Roman" w:hAnsi="Times New Roman"/>
          <w:b w:val="1"/>
          <w:sz w:val="28"/>
        </w:rPr>
        <w:t>детский культурно-просветительский центр</w:t>
      </w:r>
      <w:r>
        <w:rPr>
          <w:rFonts w:ascii="Times New Roman" w:hAnsi="Times New Roman"/>
          <w:sz w:val="28"/>
        </w:rPr>
        <w:t>. Это современное и комфортное пространство, где юные посетители смогут учиться и развивать свои творческие навыки.</w:t>
      </w:r>
    </w:p>
    <w:p w14:paraId="66000000">
      <w:pPr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 2025 году Бабченко Е.Р.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Орошаемская</w:t>
      </w:r>
      <w:r>
        <w:rPr>
          <w:rFonts w:ascii="Times New Roman" w:hAnsi="Times New Roman"/>
          <w:sz w:val="28"/>
        </w:rPr>
        <w:t xml:space="preserve"> сельская библиотека), была подана заявка на участие в Гранте.</w:t>
      </w:r>
    </w:p>
    <w:p w14:paraId="67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Грант Президента РФ</w:t>
      </w:r>
      <w:r>
        <w:rPr>
          <w:rFonts w:ascii="Times New Roman" w:hAnsi="Times New Roman"/>
          <w:sz w:val="28"/>
        </w:rPr>
        <w:t xml:space="preserve"> для поддержки творческих проектов общенационального значения в области культуры и искусства. (Заявка </w:t>
      </w:r>
      <w:r>
        <w:rPr>
          <w:rFonts w:ascii="Times New Roman" w:hAnsi="Times New Roman"/>
          <w:sz w:val="28"/>
        </w:rPr>
        <w:t>на участие в конкурсе представлена в Минкультуры России в форме электронных по адресу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color w:val="41579E"/>
          <w:sz w:val="28"/>
          <w:u w:val="single"/>
        </w:rPr>
        <w:fldChar w:fldCharType="begin"/>
      </w:r>
      <w:r>
        <w:rPr>
          <w:rFonts w:ascii="Times New Roman" w:hAnsi="Times New Roman"/>
          <w:color w:val="41579E"/>
          <w:sz w:val="28"/>
          <w:u w:val="single"/>
        </w:rPr>
        <w:instrText>HYPERLINK "https://award.culture.gov.ru/"</w:instrText>
      </w:r>
      <w:r>
        <w:rPr>
          <w:rFonts w:ascii="Times New Roman" w:hAnsi="Times New Roman"/>
          <w:color w:val="41579E"/>
          <w:sz w:val="28"/>
          <w:u w:val="single"/>
        </w:rPr>
        <w:fldChar w:fldCharType="separate"/>
      </w:r>
      <w:r>
        <w:rPr>
          <w:rFonts w:ascii="Times New Roman" w:hAnsi="Times New Roman"/>
          <w:color w:val="41579E"/>
          <w:sz w:val="28"/>
          <w:u w:val="single"/>
        </w:rPr>
        <w:t>https://award.culture.gov.ru/</w:t>
      </w:r>
      <w:r>
        <w:rPr>
          <w:rFonts w:ascii="Times New Roman" w:hAnsi="Times New Roman"/>
          <w:color w:val="41579E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68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Проект </w:t>
      </w:r>
      <w:r>
        <w:rPr>
          <w:rFonts w:ascii="Times New Roman" w:hAnsi="Times New Roman"/>
          <w:sz w:val="28"/>
        </w:rPr>
        <w:t>« Православные традиции в современной семье»</w:t>
      </w:r>
    </w:p>
    <w:p w14:paraId="69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Срок реализации проекта</w:t>
      </w:r>
      <w:r>
        <w:rPr>
          <w:rFonts w:ascii="Times New Roman" w:hAnsi="Times New Roman"/>
          <w:sz w:val="28"/>
        </w:rPr>
        <w:t xml:space="preserve"> (май-ноябрь 2026 г)</w:t>
      </w:r>
    </w:p>
    <w:p w14:paraId="6A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Подводя итоги работы</w:t>
      </w:r>
      <w:r>
        <w:rPr>
          <w:rFonts w:ascii="Times New Roman" w:hAnsi="Times New Roman"/>
          <w:sz w:val="28"/>
        </w:rPr>
        <w:t xml:space="preserve">, нельзя не отметить достижения. </w:t>
      </w:r>
      <w:r>
        <w:rPr>
          <w:rFonts w:ascii="Times New Roman" w:hAnsi="Times New Roman"/>
          <w:sz w:val="28"/>
        </w:rPr>
        <w:t>2025 год был творческий, наполненный высокими результатами и прекрасными достижениями в области культуры. Коллективы и исполнители Дергачевского района принимали участие в областных и всероссийских конкурсах и фестивалях.</w:t>
      </w:r>
    </w:p>
    <w:p w14:paraId="6B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Коллектив Первомайского сельского Дома культуры участвовали в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 xml:space="preserve"> всероссийском конкурсе искусств </w:t>
      </w:r>
      <w:r>
        <w:rPr>
          <w:rFonts w:ascii="Times New Roman" w:hAnsi="Times New Roman"/>
          <w:b w:val="1"/>
          <w:sz w:val="28"/>
        </w:rPr>
        <w:t xml:space="preserve">«Мир вдохновения» </w:t>
      </w:r>
      <w:r>
        <w:rPr>
          <w:rFonts w:ascii="Times New Roman" w:hAnsi="Times New Roman"/>
          <w:sz w:val="28"/>
        </w:rPr>
        <w:t xml:space="preserve">декоративно-прикладного творчества, стали лауреатами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степени,</w:t>
      </w:r>
    </w:p>
    <w:p w14:paraId="6C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Хор ветеранов труда и Ансамбль «Карусель» приняли участие в областном фестивале конкурсе вокальных ансамблей и хоровых коллективов </w:t>
      </w:r>
      <w:r>
        <w:rPr>
          <w:rFonts w:ascii="Times New Roman" w:hAnsi="Times New Roman"/>
          <w:b w:val="1"/>
          <w:sz w:val="28"/>
        </w:rPr>
        <w:t>«Созвучие»</w:t>
      </w:r>
      <w:r>
        <w:rPr>
          <w:rFonts w:ascii="Times New Roman" w:hAnsi="Times New Roman"/>
          <w:sz w:val="28"/>
        </w:rPr>
        <w:t>. Ансамбль «Карусель» завоевали Диплом лауреата; Хор ветеранов диплом 2 степени;</w:t>
      </w:r>
    </w:p>
    <w:p w14:paraId="6D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Ведущий методист информационно-методического отдела, руководитель вокальной студии «Вдохновение» - Олег </w:t>
      </w:r>
      <w:r>
        <w:rPr>
          <w:rFonts w:ascii="Times New Roman" w:hAnsi="Times New Roman"/>
          <w:sz w:val="28"/>
        </w:rPr>
        <w:t>Любцов</w:t>
      </w:r>
      <w:r>
        <w:rPr>
          <w:rFonts w:ascii="Times New Roman" w:hAnsi="Times New Roman"/>
          <w:sz w:val="28"/>
        </w:rPr>
        <w:t xml:space="preserve"> принял участие в областном конкурсе "Лучший клубный работник - 2024" награжден дипломом лауреата III степени в номинации «Лучший руководитель клубного формирования»;</w:t>
      </w:r>
    </w:p>
    <w:p w14:paraId="6E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Участвовали в областном конкурсе на лучшее онлайн-мероприятие </w:t>
      </w:r>
      <w:r>
        <w:rPr>
          <w:rFonts w:ascii="Times New Roman" w:hAnsi="Times New Roman"/>
          <w:b w:val="1"/>
          <w:sz w:val="28"/>
        </w:rPr>
        <w:t>«Культура выходит в сеть»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посвященного</w:t>
      </w:r>
      <w:r>
        <w:rPr>
          <w:rFonts w:ascii="Times New Roman" w:hAnsi="Times New Roman"/>
          <w:sz w:val="28"/>
        </w:rPr>
        <w:t xml:space="preserve"> 80-летию Победы в Великой отечественной войне. За видеоролик </w:t>
      </w:r>
      <w:r>
        <w:rPr>
          <w:rFonts w:ascii="Times New Roman" w:hAnsi="Times New Roman"/>
          <w:b w:val="1"/>
          <w:sz w:val="28"/>
        </w:rPr>
        <w:t xml:space="preserve">«Вклад </w:t>
      </w:r>
      <w:r>
        <w:rPr>
          <w:rFonts w:ascii="Times New Roman" w:hAnsi="Times New Roman"/>
          <w:b w:val="1"/>
          <w:sz w:val="28"/>
        </w:rPr>
        <w:t>дергачевцев</w:t>
      </w:r>
      <w:r>
        <w:rPr>
          <w:rFonts w:ascii="Times New Roman" w:hAnsi="Times New Roman"/>
          <w:b w:val="1"/>
          <w:sz w:val="28"/>
        </w:rPr>
        <w:t xml:space="preserve"> в Великую Победу»</w:t>
      </w:r>
      <w:r>
        <w:rPr>
          <w:rFonts w:ascii="Times New Roman" w:hAnsi="Times New Roman"/>
          <w:sz w:val="28"/>
        </w:rPr>
        <w:t>, Юлия Леонова, заведующая информационно-методическим отделом Центрального Дома культуры МБУК «</w:t>
      </w:r>
      <w:r>
        <w:rPr>
          <w:rFonts w:ascii="Times New Roman" w:hAnsi="Times New Roman"/>
          <w:sz w:val="28"/>
        </w:rPr>
        <w:t>Межпоселенческое</w:t>
      </w:r>
      <w:r>
        <w:rPr>
          <w:rFonts w:ascii="Times New Roman" w:hAnsi="Times New Roman"/>
          <w:sz w:val="28"/>
        </w:rPr>
        <w:t xml:space="preserve"> культурно-досуговое объединение» Дергачевского района стала обладателем Диплома Гран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ри.</w:t>
      </w:r>
    </w:p>
    <w:p w14:paraId="6F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Камышевский</w:t>
      </w:r>
      <w:r>
        <w:rPr>
          <w:rFonts w:ascii="Times New Roman" w:hAnsi="Times New Roman"/>
          <w:sz w:val="28"/>
        </w:rPr>
        <w:t xml:space="preserve"> сельский Дом культуры участвовал в областном конкурсе театральных коллективов и индивидуальных исполнителей «Театральный калейдоскоп», награждены дипломом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степени в номинации «Разговорный жанр»; </w:t>
      </w:r>
    </w:p>
    <w:p w14:paraId="70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Демьясский</w:t>
      </w:r>
      <w:r>
        <w:rPr>
          <w:rFonts w:ascii="Times New Roman" w:hAnsi="Times New Roman"/>
          <w:sz w:val="28"/>
        </w:rPr>
        <w:t xml:space="preserve"> сельский Дом культуры участвовал во Всероссийском конкурсе "Змейка - 2025". Получен Диплом за 1 место.</w:t>
      </w:r>
    </w:p>
    <w:p w14:paraId="71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Атлетический клуб «Атлант Молодежного центра, участвовал во Всероссийском турнире по пауэрлифтингу, завоевали две медали за 1 место и две медали за 2 место.</w:t>
      </w:r>
    </w:p>
    <w:p w14:paraId="72000000">
      <w:pPr>
        <w:ind/>
        <w:jc w:val="both"/>
        <w:rPr>
          <w:rFonts w:ascii="Times New Roman" w:hAnsi="Times New Roman"/>
          <w:sz w:val="28"/>
        </w:rPr>
      </w:pPr>
    </w:p>
    <w:p w14:paraId="73000000">
      <w:pPr>
        <w:ind w:firstLine="708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Творческая деятельность клубны</w:t>
      </w:r>
      <w:r>
        <w:rPr>
          <w:rFonts w:ascii="Times New Roman" w:hAnsi="Times New Roman"/>
          <w:sz w:val="28"/>
        </w:rPr>
        <w:t xml:space="preserve">х учреждений не стоит на месте и требует постоянного развития и создания комфортных условий, как для работников культуры, так и для посетителей учреждений культуры. Для дальнейшего участия в государственной </w:t>
      </w:r>
      <w:r>
        <w:rPr>
          <w:rFonts w:ascii="Times New Roman" w:hAnsi="Times New Roman"/>
          <w:sz w:val="28"/>
        </w:rPr>
        <w:t>проекте</w:t>
      </w:r>
      <w:r>
        <w:rPr>
          <w:rFonts w:ascii="Times New Roman" w:hAnsi="Times New Roman"/>
          <w:sz w:val="28"/>
        </w:rPr>
        <w:t xml:space="preserve"> «Культура» и региональной программе «Культура </w:t>
      </w:r>
      <w:r>
        <w:rPr>
          <w:rFonts w:ascii="Times New Roman" w:hAnsi="Times New Roman"/>
          <w:sz w:val="28"/>
        </w:rPr>
        <w:t>Саратовской области» подготовлена смета и запланированы ремонты на 2026 год в следующих учреждениях:</w:t>
      </w:r>
    </w:p>
    <w:p w14:paraId="74000000">
      <w:pPr>
        <w:ind/>
        <w:jc w:val="both"/>
        <w:rPr>
          <w:sz w:val="28"/>
        </w:rPr>
      </w:pPr>
      <w:r>
        <w:rPr>
          <w:sz w:val="28"/>
        </w:rPr>
        <w:t xml:space="preserve">- в рамках КМР запланирован ремонт </w:t>
      </w:r>
      <w:r>
        <w:rPr>
          <w:sz w:val="28"/>
        </w:rPr>
        <w:t>Алтатинского</w:t>
      </w:r>
      <w:r>
        <w:rPr>
          <w:sz w:val="28"/>
        </w:rPr>
        <w:t xml:space="preserve"> СДК (</w:t>
      </w:r>
      <w:r>
        <w:rPr>
          <w:sz w:val="28"/>
        </w:rPr>
        <w:t>софинансирование</w:t>
      </w:r>
      <w:r>
        <w:rPr>
          <w:sz w:val="28"/>
        </w:rPr>
        <w:t>);</w:t>
      </w:r>
    </w:p>
    <w:p w14:paraId="75000000">
      <w:pPr>
        <w:ind/>
        <w:jc w:val="both"/>
        <w:rPr>
          <w:sz w:val="28"/>
        </w:rPr>
      </w:pPr>
      <w:r>
        <w:rPr>
          <w:sz w:val="28"/>
        </w:rPr>
        <w:t xml:space="preserve">- в рамках проекта «50 Домов культуры» запланирован ремонт кровли в </w:t>
      </w:r>
      <w:r>
        <w:rPr>
          <w:sz w:val="28"/>
        </w:rPr>
        <w:t>Мирнинском</w:t>
      </w:r>
      <w:r>
        <w:rPr>
          <w:sz w:val="28"/>
        </w:rPr>
        <w:t xml:space="preserve"> СДК (</w:t>
      </w:r>
      <w:r>
        <w:rPr>
          <w:sz w:val="28"/>
        </w:rPr>
        <w:t>софинансирование</w:t>
      </w:r>
      <w:r>
        <w:rPr>
          <w:sz w:val="28"/>
        </w:rPr>
        <w:t>).</w:t>
      </w:r>
    </w:p>
    <w:p w14:paraId="76000000">
      <w:pPr>
        <w:ind/>
        <w:jc w:val="both"/>
        <w:rPr>
          <w:b w:val="1"/>
          <w:sz w:val="28"/>
        </w:rPr>
      </w:pPr>
    </w:p>
    <w:p w14:paraId="77000000">
      <w:pPr>
        <w:ind/>
        <w:jc w:val="both"/>
        <w:rPr>
          <w:sz w:val="28"/>
        </w:rPr>
      </w:pPr>
      <w:r>
        <w:rPr>
          <w:sz w:val="28"/>
        </w:rPr>
        <w:t xml:space="preserve">Готовится пакет документов </w:t>
      </w:r>
      <w:r>
        <w:rPr>
          <w:sz w:val="28"/>
        </w:rPr>
        <w:t xml:space="preserve">для участия в </w:t>
      </w:r>
      <w:r>
        <w:rPr>
          <w:sz w:val="28"/>
        </w:rPr>
        <w:t>2027 году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 в </w:t>
      </w:r>
      <w:r>
        <w:rPr>
          <w:sz w:val="28"/>
        </w:rPr>
        <w:t>национальном проекте</w:t>
      </w:r>
      <w:r>
        <w:rPr>
          <w:sz w:val="28"/>
        </w:rPr>
        <w:t xml:space="preserve"> «Семья» </w:t>
      </w:r>
      <w:r>
        <w:rPr>
          <w:sz w:val="28"/>
        </w:rPr>
        <w:t>с целью</w:t>
      </w:r>
      <w:r>
        <w:rPr>
          <w:sz w:val="28"/>
        </w:rPr>
        <w:t xml:space="preserve"> </w:t>
      </w:r>
      <w:r>
        <w:rPr>
          <w:sz w:val="28"/>
        </w:rPr>
        <w:t>проведения ремонта</w:t>
      </w:r>
      <w:r>
        <w:rPr>
          <w:sz w:val="28"/>
        </w:rPr>
        <w:t xml:space="preserve"> в </w:t>
      </w:r>
      <w:r>
        <w:rPr>
          <w:sz w:val="28"/>
        </w:rPr>
        <w:t>«</w:t>
      </w:r>
      <w:r>
        <w:rPr>
          <w:sz w:val="28"/>
        </w:rPr>
        <w:t>Дергачевской</w:t>
      </w:r>
      <w:r>
        <w:rPr>
          <w:sz w:val="28"/>
        </w:rPr>
        <w:t xml:space="preserve"> </w:t>
      </w:r>
      <w:r>
        <w:rPr>
          <w:sz w:val="28"/>
        </w:rPr>
        <w:t>межпоселенческой</w:t>
      </w:r>
      <w:r>
        <w:rPr>
          <w:sz w:val="28"/>
        </w:rPr>
        <w:t xml:space="preserve"> центральной библиотеки</w:t>
      </w:r>
      <w:r>
        <w:rPr>
          <w:sz w:val="28"/>
        </w:rPr>
        <w:t>».</w:t>
      </w:r>
      <w:r>
        <w:rPr>
          <w:sz w:val="28"/>
        </w:rPr>
        <w:t xml:space="preserve"> </w:t>
      </w:r>
    </w:p>
    <w:p w14:paraId="78000000">
      <w:pPr>
        <w:ind/>
        <w:jc w:val="both"/>
        <w:rPr>
          <w:sz w:val="28"/>
        </w:rPr>
      </w:pPr>
    </w:p>
    <w:p w14:paraId="79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Так же с целью привлечения дополнительных средств, будет продолжена практика участия в конкурсах и Грантах.</w:t>
      </w:r>
    </w:p>
    <w:p w14:paraId="7A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7B000000">
      <w:pPr>
        <w:rPr>
          <w:b w:val="1"/>
          <w:sz w:val="28"/>
        </w:rPr>
      </w:pPr>
    </w:p>
    <w:p w14:paraId="7C000000">
      <w:pPr>
        <w:rPr>
          <w:b w:val="1"/>
          <w:sz w:val="28"/>
        </w:rPr>
      </w:pPr>
    </w:p>
    <w:p w14:paraId="7D000000">
      <w:pPr>
        <w:rPr>
          <w:b w:val="1"/>
          <w:sz w:val="28"/>
        </w:rPr>
      </w:pPr>
    </w:p>
    <w:p w14:paraId="7E000000">
      <w:pPr>
        <w:rPr>
          <w:b w:val="1"/>
          <w:sz w:val="28"/>
        </w:rPr>
      </w:pPr>
    </w:p>
    <w:p w14:paraId="7F000000">
      <w:pPr>
        <w:rPr>
          <w:b w:val="1"/>
          <w:sz w:val="28"/>
        </w:rPr>
      </w:pPr>
    </w:p>
    <w:p w14:paraId="80000000">
      <w:pPr>
        <w:rPr>
          <w:b w:val="1"/>
          <w:sz w:val="28"/>
        </w:rPr>
      </w:pPr>
    </w:p>
    <w:p w14:paraId="81000000">
      <w:pPr>
        <w:rPr>
          <w:b w:val="1"/>
          <w:sz w:val="28"/>
        </w:rPr>
      </w:pPr>
    </w:p>
    <w:p w14:paraId="82000000">
      <w:pPr>
        <w:pStyle w:val="Style_5"/>
        <w:spacing w:line="240" w:lineRule="auto"/>
        <w:ind/>
        <w:jc w:val="both"/>
        <w:rPr>
          <w:b w:val="1"/>
          <w:sz w:val="36"/>
        </w:rPr>
      </w:pPr>
      <w:r>
        <w:rPr>
          <w:b w:val="1"/>
          <w:sz w:val="36"/>
        </w:rPr>
        <w:t xml:space="preserve"> </w:t>
      </w:r>
    </w:p>
    <w:sectPr>
      <w:pgSz w:h="16838" w:w="11906"/>
      <w:pgMar w:bottom="1134" w:footer="708" w:gutter="0" w:header="708" w:left="851" w:right="849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6" w:type="paragraph">
    <w:name w:val="toc 2"/>
    <w:next w:val="Style_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2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2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2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er"/>
    <w:basedOn w:val="Style_2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2"/>
    <w:next w:val="Style_2"/>
    <w:link w:val="Style_1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2_ch"/>
    <w:link w:val="Style_1"/>
    <w:rPr>
      <w:rFonts w:ascii="Arial" w:hAnsi="Arial"/>
      <w:b w:val="1"/>
      <w:sz w:val="28"/>
    </w:rPr>
  </w:style>
  <w:style w:styleId="Style_15" w:type="paragraph">
    <w:name w:val="footer"/>
    <w:basedOn w:val="Style_2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5" w:type="paragraph">
    <w:name w:val="No Spacing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Balloon Text"/>
    <w:basedOn w:val="Style_2"/>
    <w:link w:val="Style_19_ch"/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2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2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3" w:type="paragraph">
    <w:name w:val="Title"/>
    <w:basedOn w:val="Style_2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2_ch"/>
    <w:link w:val="Style_3"/>
    <w:rPr>
      <w:b w:val="1"/>
      <w:sz w:val="28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styleId="Style_4" w:type="paragraph">
    <w:name w:val="List Paragraph"/>
    <w:basedOn w:val="Style_2"/>
    <w:link w:val="Style_4_ch"/>
    <w:pPr>
      <w:ind w:firstLine="0" w:left="720"/>
      <w:contextualSpacing w:val="1"/>
    </w:pPr>
  </w:style>
  <w:style w:styleId="Style_4_ch" w:type="character">
    <w:name w:val="List Paragraph"/>
    <w:basedOn w:val="Style_2_ch"/>
    <w:link w:val="Style_4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2025-10-31T06:39:25Z</dcterms:modified>
</cp:coreProperties>
</file>