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 </w:t>
      </w:r>
    </w:p>
    <w:p w14:paraId="02000000">
      <w:pPr>
        <w:spacing w:after="0" w:line="240" w:lineRule="auto"/>
        <w:ind/>
        <w:rPr>
          <w:rFonts w:ascii="Times New Roman" w:hAnsi="Times New Roman"/>
          <w:b w:val="1"/>
          <w:color w:val="1A1A1A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 xml:space="preserve">                               </w:t>
      </w: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8229" cy="5810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8229" cy="5810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spacing w:after="0"/>
        <w:ind/>
        <w:jc w:val="center"/>
        <w:rPr>
          <w:sz w:val="24"/>
        </w:rPr>
      </w:pPr>
      <w:r>
        <w:rPr>
          <w:sz w:val="24"/>
        </w:rPr>
        <w:t xml:space="preserve">  СОБРАНИЕ</w:t>
      </w:r>
    </w:p>
    <w:p w14:paraId="05000000">
      <w:pPr>
        <w:spacing w:after="0"/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6000000">
      <w:pPr>
        <w:spacing w:after="0"/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7000000">
      <w:pPr>
        <w:spacing w:after="0"/>
        <w:ind/>
        <w:jc w:val="center"/>
        <w:rPr>
          <w:b w:val="1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г. № 74-435                                                             </w:t>
      </w:r>
      <w:r>
        <w:t>413440 Саратовская область</w:t>
      </w:r>
    </w:p>
    <w:p w14:paraId="08000000">
      <w:pPr>
        <w:spacing w:after="0" w:line="240" w:lineRule="auto"/>
        <w:ind/>
      </w:pPr>
      <w:r>
        <w:tab/>
      </w:r>
      <w:r>
        <w:t xml:space="preserve">                                                                                                                    </w:t>
      </w:r>
      <w:r>
        <w:t>р</w:t>
      </w:r>
      <w:r>
        <w:t>\п</w:t>
      </w:r>
      <w:r>
        <w:t xml:space="preserve">  Дергачи, ул. М.Горького,4</w:t>
      </w:r>
    </w:p>
    <w:p w14:paraId="09000000">
      <w:pPr>
        <w:spacing w:after="0" w:line="240" w:lineRule="auto"/>
        <w:ind/>
      </w:pPr>
      <w:r>
        <w:tab/>
      </w:r>
      <w:r>
        <w:tab/>
      </w:r>
      <w:r>
        <w:tab/>
      </w:r>
      <w:r>
        <w:t xml:space="preserve">                                                                                       тел: </w:t>
      </w:r>
      <w:r>
        <w:tab/>
      </w:r>
      <w:r>
        <w:t>(845-63) 2-91-33</w:t>
      </w:r>
    </w:p>
    <w:p w14:paraId="0A000000">
      <w:pPr>
        <w:spacing w:after="0" w:line="240" w:lineRule="auto"/>
        <w:ind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факс:</w:t>
      </w:r>
      <w:r>
        <w:tab/>
      </w:r>
      <w:r>
        <w:t>(845-63) 2-91-35</w:t>
      </w:r>
    </w:p>
    <w:p w14:paraId="0B000000">
      <w:pPr>
        <w:pStyle w:val="Style_2"/>
        <w:rPr>
          <w:b w:val="0"/>
          <w:sz w:val="28"/>
        </w:rPr>
      </w:pPr>
      <w:r>
        <w:t xml:space="preserve"> </w:t>
      </w:r>
      <w:r>
        <w:rPr>
          <w:sz w:val="28"/>
        </w:rPr>
        <w:t xml:space="preserve">                                                  </w:t>
      </w:r>
      <w:r>
        <w:rPr>
          <w:b w:val="0"/>
          <w:sz w:val="28"/>
        </w:rPr>
        <w:t>РЕШЕНИЕ №</w:t>
      </w:r>
      <w:r>
        <w:rPr>
          <w:sz w:val="28"/>
        </w:rPr>
        <w:t xml:space="preserve"> 74-435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Об утверждении отчета об исполнении прогнозного плана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(программы)</w:t>
      </w:r>
      <w:r>
        <w:rPr>
          <w:rFonts w:ascii="Times New Roman" w:hAnsi="Times New Roman"/>
          <w:color w:val="1A1A1A"/>
          <w:sz w:val="28"/>
        </w:rPr>
        <w:t>приватизации муниципального имущества</w:t>
      </w:r>
    </w:p>
    <w:p w14:paraId="0E000000">
      <w:pPr>
        <w:spacing w:after="0" w:line="240" w:lineRule="auto"/>
        <w:ind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Дергачевского муниципального района за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год</w:t>
      </w:r>
    </w:p>
    <w:p w14:paraId="0F000000">
      <w:pPr>
        <w:spacing w:after="0" w:line="240" w:lineRule="auto"/>
        <w:ind/>
        <w:rPr>
          <w:rFonts w:ascii="Times New Roman" w:hAnsi="Times New Roman"/>
          <w:color w:val="1A1A1A"/>
          <w:sz w:val="28"/>
        </w:rPr>
      </w:pPr>
    </w:p>
    <w:p w14:paraId="1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A1A1A"/>
          <w:sz w:val="28"/>
        </w:rPr>
        <w:t>В соответствии  с Федеральным законом от 06.10.2003 г. №131-ФЗ «Об общих принципах организации местного самоуправления в Российской Федерации», Федеральным законом от 21.12.2001 г. №178-ФЗ «О приватизации государственного и муниципального имущества», решением Собрания Дергачевского муниципального района от 2</w:t>
      </w:r>
      <w:r>
        <w:rPr>
          <w:rFonts w:ascii="Times New Roman" w:hAnsi="Times New Roman"/>
          <w:color w:val="1A1A1A"/>
          <w:sz w:val="28"/>
        </w:rPr>
        <w:t>6</w:t>
      </w:r>
      <w:r>
        <w:rPr>
          <w:rFonts w:ascii="Times New Roman" w:hAnsi="Times New Roman"/>
          <w:color w:val="1A1A1A"/>
          <w:sz w:val="28"/>
        </w:rPr>
        <w:t>.1</w:t>
      </w:r>
      <w:r>
        <w:rPr>
          <w:rFonts w:ascii="Times New Roman" w:hAnsi="Times New Roman"/>
          <w:color w:val="1A1A1A"/>
          <w:sz w:val="28"/>
        </w:rPr>
        <w:t>1</w:t>
      </w:r>
      <w:r>
        <w:rPr>
          <w:rFonts w:ascii="Times New Roman" w:hAnsi="Times New Roman"/>
          <w:color w:val="1A1A1A"/>
          <w:sz w:val="28"/>
        </w:rPr>
        <w:t>.202</w:t>
      </w:r>
      <w:r>
        <w:rPr>
          <w:rFonts w:ascii="Times New Roman" w:hAnsi="Times New Roman"/>
          <w:color w:val="1A1A1A"/>
          <w:sz w:val="28"/>
        </w:rPr>
        <w:t>4</w:t>
      </w:r>
      <w:r>
        <w:rPr>
          <w:rFonts w:ascii="Times New Roman" w:hAnsi="Times New Roman"/>
          <w:color w:val="1A1A1A"/>
          <w:sz w:val="28"/>
        </w:rPr>
        <w:t xml:space="preserve"> г. №</w:t>
      </w:r>
      <w:r>
        <w:rPr>
          <w:rFonts w:ascii="Times New Roman" w:hAnsi="Times New Roman"/>
          <w:color w:val="1A1A1A"/>
          <w:sz w:val="28"/>
        </w:rPr>
        <w:t xml:space="preserve"> 50</w:t>
      </w:r>
      <w:r>
        <w:rPr>
          <w:rFonts w:ascii="Times New Roman" w:hAnsi="Times New Roman"/>
          <w:color w:val="1A1A1A"/>
          <w:sz w:val="28"/>
        </w:rPr>
        <w:t>-241  «Об утверждении прогнозного плана (программы)  приватизации муниципального имущества Дергачевского муниципального района Саратовской области на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г.»</w:t>
      </w:r>
      <w:r>
        <w:rPr>
          <w:rFonts w:ascii="Times New Roman" w:hAnsi="Times New Roman"/>
          <w:color w:val="1A1A1A"/>
          <w:sz w:val="28"/>
        </w:rPr>
        <w:t xml:space="preserve"> (с изменениями)</w:t>
      </w:r>
      <w:r>
        <w:rPr>
          <w:rFonts w:ascii="Times New Roman" w:hAnsi="Times New Roman"/>
          <w:color w:val="1A1A1A"/>
          <w:sz w:val="28"/>
        </w:rPr>
        <w:t>, руководствуясь Уставом Дергачевского</w:t>
      </w:r>
      <w:r>
        <w:rPr>
          <w:rFonts w:ascii="Times New Roman" w:hAnsi="Times New Roman"/>
          <w:color w:val="1A1A1A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t xml:space="preserve">Саратовской области, заслушав отчет  </w:t>
      </w:r>
      <w:r>
        <w:rPr>
          <w:rFonts w:ascii="Times New Roman" w:hAnsi="Times New Roman"/>
          <w:color w:val="1A1A1A"/>
          <w:sz w:val="28"/>
        </w:rPr>
        <w:t>об исполнении прогнозного плана (программы) приватизации муниципального имущества Дергачевского муниципального района</w:t>
      </w:r>
      <w:r>
        <w:rPr>
          <w:rFonts w:ascii="Times New Roman" w:hAnsi="Times New Roman"/>
          <w:color w:val="1A1A1A"/>
          <w:sz w:val="28"/>
        </w:rPr>
        <w:t xml:space="preserve"> </w:t>
      </w:r>
    </w:p>
    <w:p w14:paraId="11000000">
      <w:pPr>
        <w:pStyle w:val="Style_3"/>
        <w:ind/>
        <w:jc w:val="both"/>
        <w:rPr>
          <w:sz w:val="28"/>
        </w:rPr>
      </w:pPr>
    </w:p>
    <w:p w14:paraId="12000000">
      <w:pPr>
        <w:pStyle w:val="Style_3"/>
        <w:ind/>
        <w:jc w:val="center"/>
        <w:rPr>
          <w:sz w:val="28"/>
        </w:rPr>
      </w:pPr>
      <w:r>
        <w:rPr>
          <w:sz w:val="28"/>
        </w:rPr>
        <w:t>СОБРАНИЕ РЕШИЛО:</w:t>
      </w:r>
    </w:p>
    <w:p w14:paraId="13000000">
      <w:pPr>
        <w:spacing w:after="0" w:line="240" w:lineRule="auto"/>
        <w:ind/>
        <w:rPr>
          <w:rFonts w:ascii="Times New Roman" w:hAnsi="Times New Roman"/>
          <w:color w:val="1A1A1A"/>
          <w:sz w:val="28"/>
        </w:rPr>
      </w:pPr>
    </w:p>
    <w:p w14:paraId="14000000">
      <w:pPr>
        <w:tabs>
          <w:tab w:leader="none" w:pos="851" w:val="left"/>
        </w:tabs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1.</w:t>
      </w:r>
      <w:r>
        <w:rPr>
          <w:rFonts w:ascii="Times New Roman" w:hAnsi="Times New Roman"/>
          <w:color w:val="1A1A1A"/>
          <w:sz w:val="28"/>
        </w:rPr>
        <w:tab/>
      </w:r>
      <w:r>
        <w:rPr>
          <w:rFonts w:ascii="Times New Roman" w:hAnsi="Times New Roman"/>
          <w:color w:val="1A1A1A"/>
          <w:sz w:val="28"/>
        </w:rPr>
        <w:t>Утвердить отчет об исполнении прогнозного плана (программы) приватизации муниципального имущества Дергачевского муниципального района за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год, согласно приложению.</w:t>
      </w:r>
    </w:p>
    <w:p w14:paraId="15000000">
      <w:pPr>
        <w:tabs>
          <w:tab w:leader="none" w:pos="851" w:val="left"/>
        </w:tabs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2. Данное решение вступает в силу после его опубликования </w:t>
      </w:r>
      <w:r>
        <w:rPr>
          <w:rFonts w:ascii="Times New Roman" w:hAnsi="Times New Roman"/>
          <w:color w:val="1A1A1A"/>
          <w:sz w:val="28"/>
        </w:rPr>
        <w:t xml:space="preserve">( </w:t>
      </w:r>
      <w:r>
        <w:rPr>
          <w:rFonts w:ascii="Times New Roman" w:hAnsi="Times New Roman"/>
          <w:color w:val="1A1A1A"/>
          <w:sz w:val="28"/>
        </w:rPr>
        <w:t>обнародования).</w:t>
      </w:r>
    </w:p>
    <w:p w14:paraId="16000000">
      <w:pPr>
        <w:tabs>
          <w:tab w:leader="none" w:pos="851" w:val="lef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Опубликовать настоящее решение на официальном сайте администрации Дергачевского муниципального района.</w:t>
      </w:r>
    </w:p>
    <w:p w14:paraId="17000000">
      <w:pPr>
        <w:tabs>
          <w:tab w:leader="none" w:pos="851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Председатель Собрания 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Дергачевского муниципального района                            </w:t>
      </w:r>
      <w:r>
        <w:rPr>
          <w:rFonts w:ascii="Times New Roman" w:hAnsi="Times New Roman"/>
          <w:b w:val="0"/>
          <w:sz w:val="28"/>
        </w:rPr>
        <w:t>Шамьюнов</w:t>
      </w:r>
      <w:r>
        <w:rPr>
          <w:rFonts w:ascii="Times New Roman" w:hAnsi="Times New Roman"/>
          <w:b w:val="0"/>
          <w:sz w:val="28"/>
        </w:rPr>
        <w:t xml:space="preserve">  Э.Р.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Дергачевского 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</w:t>
      </w:r>
      <w:r>
        <w:rPr>
          <w:rFonts w:ascii="Times New Roman" w:hAnsi="Times New Roman"/>
          <w:b w:val="0"/>
          <w:sz w:val="28"/>
        </w:rPr>
        <w:t xml:space="preserve">   </w:t>
      </w:r>
      <w:r>
        <w:rPr>
          <w:rFonts w:ascii="Times New Roman" w:hAnsi="Times New Roman"/>
          <w:b w:val="0"/>
          <w:sz w:val="28"/>
        </w:rPr>
        <w:t xml:space="preserve">                   </w:t>
      </w:r>
      <w:r>
        <w:rPr>
          <w:rFonts w:ascii="Times New Roman" w:hAnsi="Times New Roman"/>
          <w:b w:val="0"/>
          <w:sz w:val="28"/>
        </w:rPr>
        <w:t>Мурзаков</w:t>
      </w:r>
      <w:r>
        <w:rPr>
          <w:rFonts w:ascii="Times New Roman" w:hAnsi="Times New Roman"/>
          <w:b w:val="0"/>
          <w:sz w:val="28"/>
        </w:rPr>
        <w:t xml:space="preserve"> С.Н.           </w:t>
      </w:r>
    </w:p>
    <w:p w14:paraId="1D000000">
      <w:pPr>
        <w:spacing w:after="0" w:line="240" w:lineRule="auto"/>
        <w:ind/>
        <w:jc w:val="right"/>
        <w:rPr>
          <w:rFonts w:ascii="Times New Roman" w:hAnsi="Times New Roman"/>
          <w:b w:val="0"/>
          <w:color w:val="1A1A1A"/>
          <w:sz w:val="28"/>
        </w:rPr>
      </w:pPr>
    </w:p>
    <w:p w14:paraId="1E000000">
      <w:pPr>
        <w:spacing w:after="0" w:line="240" w:lineRule="auto"/>
        <w:ind/>
        <w:jc w:val="right"/>
        <w:rPr>
          <w:rFonts w:ascii="Times New Roman" w:hAnsi="Times New Roman"/>
          <w:b w:val="0"/>
          <w:color w:val="1A1A1A"/>
          <w:sz w:val="28"/>
        </w:rPr>
      </w:pPr>
    </w:p>
    <w:p w14:paraId="1F000000">
      <w:pPr>
        <w:spacing w:after="0" w:line="240" w:lineRule="auto"/>
        <w:ind/>
        <w:jc w:val="right"/>
        <w:rPr>
          <w:rFonts w:ascii="Times New Roman" w:hAnsi="Times New Roman"/>
          <w:b w:val="0"/>
          <w:color w:val="1A1A1A"/>
          <w:sz w:val="28"/>
        </w:rPr>
      </w:pPr>
    </w:p>
    <w:p w14:paraId="20000000">
      <w:pPr>
        <w:spacing w:after="0" w:line="240" w:lineRule="auto"/>
        <w:ind/>
        <w:jc w:val="right"/>
        <w:rPr>
          <w:rFonts w:ascii="Times New Roman" w:hAnsi="Times New Roman"/>
          <w:color w:val="1A1A1A"/>
          <w:sz w:val="28"/>
        </w:rPr>
      </w:pPr>
    </w:p>
    <w:p w14:paraId="21000000">
      <w:pPr>
        <w:spacing w:after="0" w:line="240" w:lineRule="auto"/>
        <w:ind/>
        <w:jc w:val="right"/>
        <w:rPr>
          <w:rFonts w:ascii="Times New Roman" w:hAnsi="Times New Roman"/>
          <w:color w:val="1A1A1A"/>
          <w:sz w:val="28"/>
        </w:rPr>
      </w:pPr>
    </w:p>
    <w:p w14:paraId="22000000">
      <w:pPr>
        <w:spacing w:after="0" w:line="240" w:lineRule="auto"/>
        <w:ind/>
        <w:jc w:val="righ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Приложение к решению Собрания</w:t>
      </w:r>
    </w:p>
    <w:p w14:paraId="23000000">
      <w:pPr>
        <w:spacing w:after="0" w:line="240" w:lineRule="auto"/>
        <w:ind/>
        <w:jc w:val="righ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от </w:t>
      </w:r>
      <w:r>
        <w:rPr>
          <w:rFonts w:ascii="Times New Roman" w:hAnsi="Times New Roman"/>
          <w:color w:val="1A1A1A"/>
          <w:sz w:val="28"/>
        </w:rPr>
        <w:t>03</w:t>
      </w:r>
      <w:r>
        <w:rPr>
          <w:rFonts w:ascii="Times New Roman" w:hAnsi="Times New Roman"/>
          <w:color w:val="1A1A1A"/>
          <w:sz w:val="28"/>
        </w:rPr>
        <w:t>.0</w:t>
      </w:r>
      <w:r>
        <w:rPr>
          <w:rFonts w:ascii="Times New Roman" w:hAnsi="Times New Roman"/>
          <w:color w:val="1A1A1A"/>
          <w:sz w:val="28"/>
        </w:rPr>
        <w:t>2</w:t>
      </w:r>
      <w:r>
        <w:rPr>
          <w:rFonts w:ascii="Times New Roman" w:hAnsi="Times New Roman"/>
          <w:color w:val="1A1A1A"/>
          <w:sz w:val="28"/>
        </w:rPr>
        <w:t>.202</w:t>
      </w:r>
      <w:r>
        <w:rPr>
          <w:rFonts w:ascii="Times New Roman" w:hAnsi="Times New Roman"/>
          <w:color w:val="1A1A1A"/>
          <w:sz w:val="28"/>
        </w:rPr>
        <w:t>6</w:t>
      </w:r>
      <w:r>
        <w:rPr>
          <w:rFonts w:ascii="Times New Roman" w:hAnsi="Times New Roman"/>
          <w:color w:val="1A1A1A"/>
          <w:sz w:val="28"/>
        </w:rPr>
        <w:t xml:space="preserve"> г. №74-435</w:t>
      </w:r>
    </w:p>
    <w:p w14:paraId="24000000">
      <w:pPr>
        <w:spacing w:after="0" w:line="240" w:lineRule="auto"/>
        <w:ind/>
        <w:rPr>
          <w:rFonts w:ascii="Times New Roman" w:hAnsi="Times New Roman"/>
          <w:color w:val="1A1A1A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Отчет 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об исполнении прогнозного плана (программы) приватизации муниципального имущества Дергачевского муниципального района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за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год</w:t>
      </w:r>
    </w:p>
    <w:p w14:paraId="28000000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Приватизация муниципального имущества Дергачевского муниципального района Саратовской области осуществляется в соответствии с решением Собрания Дергачевского муниципального района от </w:t>
      </w:r>
      <w:r>
        <w:rPr>
          <w:rFonts w:ascii="Times New Roman" w:hAnsi="Times New Roman"/>
          <w:color w:val="1A1A1A"/>
          <w:sz w:val="28"/>
        </w:rPr>
        <w:t xml:space="preserve">26.11.2024 г. № 50-241  </w:t>
      </w:r>
      <w:r>
        <w:rPr>
          <w:rFonts w:ascii="Times New Roman" w:hAnsi="Times New Roman"/>
          <w:color w:val="1A1A1A"/>
          <w:sz w:val="28"/>
        </w:rPr>
        <w:t>«Об утверждении прогнозного плана (программы)  приватизации муниципального имущества Дергачевского муниципального района Саратовской области на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г.»</w:t>
      </w:r>
      <w:r>
        <w:rPr>
          <w:rFonts w:ascii="Times New Roman" w:hAnsi="Times New Roman"/>
          <w:color w:val="1A1A1A"/>
          <w:sz w:val="28"/>
        </w:rPr>
        <w:t xml:space="preserve"> (с изменениями)</w:t>
      </w:r>
      <w:r>
        <w:rPr>
          <w:rFonts w:ascii="Times New Roman" w:hAnsi="Times New Roman"/>
          <w:color w:val="1A1A1A"/>
          <w:sz w:val="28"/>
        </w:rPr>
        <w:t xml:space="preserve"> и требованиями Федерального закона от 21.12.2001 г. №178-ФЗ «О приватизации государственного и муниципального имущества».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ab/>
      </w:r>
      <w:r>
        <w:rPr>
          <w:rFonts w:ascii="Times New Roman" w:hAnsi="Times New Roman"/>
          <w:color w:val="1A1A1A"/>
          <w:sz w:val="28"/>
        </w:rPr>
        <w:t>В прогнозный план (программу) приватизации на 202</w:t>
      </w:r>
      <w:r>
        <w:rPr>
          <w:rFonts w:ascii="Times New Roman" w:hAnsi="Times New Roman"/>
          <w:color w:val="1A1A1A"/>
          <w:sz w:val="28"/>
        </w:rPr>
        <w:t>5</w:t>
      </w:r>
      <w:r>
        <w:rPr>
          <w:rFonts w:ascii="Times New Roman" w:hAnsi="Times New Roman"/>
          <w:color w:val="1A1A1A"/>
          <w:sz w:val="28"/>
        </w:rPr>
        <w:t xml:space="preserve"> год были включены объекты, требующие затрат на содержание.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ab/>
      </w:r>
      <w:r>
        <w:rPr>
          <w:rFonts w:ascii="Times New Roman" w:hAnsi="Times New Roman"/>
          <w:color w:val="1A1A1A"/>
          <w:sz w:val="28"/>
        </w:rPr>
        <w:t>В указанный план  (программу) приватизации вошли следующие объекты Дергачевского муниципального района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tbl>
      <w:tblPr>
        <w:tblStyle w:val="Style_4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7"/>
        <w:gridCol w:w="3653"/>
        <w:gridCol w:w="1275"/>
        <w:gridCol w:w="1337"/>
        <w:gridCol w:w="3341"/>
      </w:tblGrid>
      <w:tr>
        <w:trPr>
          <w:trHeight w:hRule="atLeast" w:val="285"/>
        </w:trPr>
        <w:tc>
          <w:tcPr>
            <w:tcW w:type="dxa" w:w="7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</w:t>
            </w:r>
          </w:p>
        </w:tc>
        <w:tc>
          <w:tcPr>
            <w:tcW w:type="dxa" w:w="3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Объекты, включенные в программу приватизации на 2025 год (наименование, в том числе: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МУП, ООО, АО, движимое и недвижимое имущество)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8"/>
              </w:rPr>
            </w:pP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8"/>
              </w:rPr>
            </w:pP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8"/>
              </w:rPr>
            </w:pPr>
          </w:p>
        </w:tc>
      </w:tr>
      <w:tr>
        <w:trPr>
          <w:trHeight w:hRule="atLeast" w:val="855"/>
        </w:trPr>
        <w:tc>
          <w:tcPr>
            <w:tcW w:type="dxa" w:w="7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цена продажи (руб.)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поступило в бюджет (руб.) (без НДС)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примечания</w:t>
            </w:r>
          </w:p>
        </w:tc>
      </w:tr>
      <w:tr>
        <w:trPr>
          <w:trHeight w:hRule="atLeast" w:val="12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Нежилое помещение, находящееся по адресу: р.п. Дергачи ул. Ленина, д.87, пом.1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Объект (полуподвальное помещение) расположен в жилом многоквартирном доме, с 2024 года не выставляется на торги - запланирован как объект ГО и ЧС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Нежилое здание: Дергачевский район,  р.п. Дергачи, ул. Разведчиков, 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декабре 2025 года документация направлена на проведение оценки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одноэтажное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р.п. Дергачи, ул. </w:t>
            </w:r>
            <w:r>
              <w:rPr>
                <w:rFonts w:ascii="Times New Roman" w:hAnsi="Times New Roman"/>
                <w:sz w:val="28"/>
              </w:rPr>
              <w:t>Октябрьская</w:t>
            </w:r>
            <w:r>
              <w:rPr>
                <w:rFonts w:ascii="Times New Roman" w:hAnsi="Times New Roman"/>
                <w:sz w:val="28"/>
              </w:rPr>
              <w:t>, д.№1Б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439,6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продлена аренда здания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одноэтажное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р.п. Дергачи, ул. </w:t>
            </w:r>
            <w:r>
              <w:rPr>
                <w:rFonts w:ascii="Times New Roman" w:hAnsi="Times New Roman"/>
                <w:sz w:val="28"/>
              </w:rPr>
              <w:t>Октябрьская</w:t>
            </w:r>
            <w:r>
              <w:rPr>
                <w:rFonts w:ascii="Times New Roman" w:hAnsi="Times New Roman"/>
                <w:sz w:val="28"/>
              </w:rPr>
              <w:t>, д.№1Е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4050,1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29.12.2025г. Аукцион не состоялся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двухэтажное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Дергачевский район, п. Орошаемый, ул. </w:t>
            </w:r>
            <w:r>
              <w:rPr>
                <w:rFonts w:ascii="Times New Roman" w:hAnsi="Times New Roman"/>
                <w:sz w:val="28"/>
              </w:rPr>
              <w:t>Центральная</w:t>
            </w:r>
            <w:r>
              <w:rPr>
                <w:rFonts w:ascii="Times New Roman" w:hAnsi="Times New Roman"/>
                <w:sz w:val="28"/>
              </w:rPr>
              <w:t>, д.№42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здание бывшего дома интерната для детей сирот, в настоящее время обращений по выкупу имущества не поступало 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одноэтажное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р.п. Дергачи, ул. </w:t>
            </w:r>
            <w:r>
              <w:rPr>
                <w:rFonts w:ascii="Times New Roman" w:hAnsi="Times New Roman"/>
                <w:sz w:val="28"/>
              </w:rPr>
              <w:t>Октябрьская</w:t>
            </w:r>
            <w:r>
              <w:rPr>
                <w:rFonts w:ascii="Times New Roman" w:hAnsi="Times New Roman"/>
                <w:sz w:val="28"/>
              </w:rPr>
              <w:t>, д.№1А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2174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декабре 2025 года документация направлена на проведение оценки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одноэтажное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р.п. Дергачи, ул. </w:t>
            </w:r>
            <w:r>
              <w:rPr>
                <w:rFonts w:ascii="Times New Roman" w:hAnsi="Times New Roman"/>
                <w:sz w:val="28"/>
              </w:rPr>
              <w:t>Октябрьская</w:t>
            </w:r>
            <w:r>
              <w:rPr>
                <w:rFonts w:ascii="Times New Roman" w:hAnsi="Times New Roman"/>
                <w:sz w:val="28"/>
              </w:rPr>
              <w:t>, д.№1В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29.12.2025г. Аукцион не состоялся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здание, р.п. Дергачи, пер. </w:t>
            </w:r>
            <w:r>
              <w:rPr>
                <w:rFonts w:ascii="Times New Roman" w:hAnsi="Times New Roman"/>
                <w:sz w:val="28"/>
              </w:rPr>
              <w:t>Лесной</w:t>
            </w:r>
            <w:r>
              <w:rPr>
                <w:rFonts w:ascii="Times New Roman" w:hAnsi="Times New Roman"/>
                <w:sz w:val="28"/>
              </w:rPr>
              <w:t>, 45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декабре 2025 года документация направлена на проведение оценки</w:t>
            </w:r>
          </w:p>
        </w:tc>
      </w:tr>
      <w:tr>
        <w:trPr>
          <w:trHeight w:hRule="atLeast" w:val="9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Нежилое одноэтажное </w:t>
            </w: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z w:val="28"/>
              </w:rPr>
              <w:t xml:space="preserve"> находящееся по адресу: р.п. Дергачи, пер. </w:t>
            </w:r>
            <w:r>
              <w:rPr>
                <w:rFonts w:ascii="Times New Roman" w:hAnsi="Times New Roman"/>
                <w:sz w:val="28"/>
              </w:rPr>
              <w:t>Береговой</w:t>
            </w:r>
            <w:r>
              <w:rPr>
                <w:rFonts w:ascii="Times New Roman" w:hAnsi="Times New Roman"/>
                <w:sz w:val="28"/>
              </w:rPr>
              <w:t>, д.№2А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декабре 2025 года документация направлена на проведение оценки</w:t>
            </w:r>
          </w:p>
        </w:tc>
      </w:tr>
      <w:tr>
        <w:trPr>
          <w:trHeight w:hRule="atLeast" w:val="12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Нежилое здание с земельным участком, </w:t>
            </w:r>
            <w:r>
              <w:rPr>
                <w:rFonts w:ascii="Times New Roman" w:hAnsi="Times New Roman"/>
                <w:color w:val="000000"/>
                <w:sz w:val="28"/>
              </w:rPr>
              <w:t>расположенные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 адресу: Саратовская область, р-н Дергачевский,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. Антоновка, ул. Колхозная, д. 11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707,8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707,8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>
        <w:trPr>
          <w:trHeight w:hRule="atLeast" w:val="120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Нежилое здание с земельным участком, </w:t>
            </w:r>
            <w:r>
              <w:rPr>
                <w:rFonts w:ascii="Times New Roman" w:hAnsi="Times New Roman"/>
                <w:color w:val="000000"/>
                <w:sz w:val="28"/>
              </w:rPr>
              <w:t>расположенные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 адресу: Саратовская область, р-н Дергачевский,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. Антоновка, ул. Колхозная, д. 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566,5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17.08.2025г. Аукцион не состоялся, 29.12.2025г. Аукцион не состоялся</w:t>
            </w:r>
          </w:p>
        </w:tc>
      </w:tr>
      <w:tr>
        <w:trPr>
          <w:trHeight w:hRule="atLeast" w:val="723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9959,0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707,8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</w:tbl>
    <w:p w14:paraId="70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71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72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ab/>
      </w:r>
    </w:p>
    <w:sectPr>
      <w:pgSz w:h="16840" w:w="11900"/>
      <w:pgMar w:bottom="284" w:footer="3" w:gutter="0" w:header="0" w:left="1134" w:right="701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3" w:type="paragraph">
    <w:name w:val="No Spacing"/>
    <w:link w:val="Style_3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3_ch" w:type="character">
    <w:name w:val="No Spacing"/>
    <w:link w:val="Style_3"/>
    <w:rPr>
      <w:rFonts w:ascii="Times New Roman" w:hAnsi="Times New Roman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Гиперссылка1"/>
    <w:basedOn w:val="Style_14"/>
    <w:link w:val="Style_13_ch"/>
    <w:rPr>
      <w:color w:val="0000FF"/>
      <w:u w:val="single"/>
    </w:rPr>
  </w:style>
  <w:style w:styleId="Style_13_ch" w:type="character">
    <w:name w:val="Гиперссылка1"/>
    <w:basedOn w:val="Style_14_ch"/>
    <w:link w:val="Style_13"/>
    <w:rPr>
      <w:color w:val="0000FF"/>
      <w:u w:val="single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" w:type="paragraph">
    <w:name w:val="heading 1"/>
    <w:next w:val="Style_5"/>
    <w:link w:val="Style_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5"/>
    <w:link w:val="Style_18_ch"/>
    <w:uiPriority w:val="39"/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Balloon Text"/>
    <w:basedOn w:val="Style_5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5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5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" w:type="paragraph">
    <w:name w:val="Title"/>
    <w:next w:val="Style_5"/>
    <w:link w:val="Style_2_ch"/>
    <w:uiPriority w:val="10"/>
    <w:qFormat/>
    <w:rPr>
      <w:rFonts w:ascii="XO Thames" w:hAnsi="XO Thames"/>
      <w:b w:val="1"/>
      <w:sz w:val="52"/>
    </w:rPr>
  </w:style>
  <w:style w:styleId="Style_2_ch" w:type="character">
    <w:name w:val="Title"/>
    <w:link w:val="Style_2"/>
    <w:rPr>
      <w:rFonts w:ascii="XO Thames" w:hAnsi="XO Thames"/>
      <w:b w:val="1"/>
      <w:sz w:val="52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Normal (Web)"/>
    <w:basedOn w:val="Style_5"/>
    <w:link w:val="Style_3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Normal (Web)"/>
    <w:basedOn w:val="Style_5_ch"/>
    <w:link w:val="Style_32"/>
    <w:rPr>
      <w:rFonts w:ascii="Times New Roman" w:hAnsi="Times New Roman"/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2026-02-05T06:11:54Z</dcterms:modified>
</cp:coreProperties>
</file>