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pStyle w:val="Style_1"/>
        <w:rPr>
          <w:b w:val="1"/>
          <w:sz w:val="28"/>
          <w:u w:val="none"/>
        </w:rPr>
      </w:pPr>
      <w:r>
        <w:rPr>
          <w:sz w:val="22"/>
        </w:rPr>
        <w:t xml:space="preserve">                                                  </w:t>
      </w:r>
      <w:r>
        <w:rPr>
          <w:b w:val="1"/>
          <w:sz w:val="22"/>
        </w:rPr>
        <w:t xml:space="preserve">                    </w:t>
      </w:r>
      <w:r>
        <w:rPr>
          <w:b w:val="1"/>
          <w:sz w:val="22"/>
        </w:rPr>
        <w:t xml:space="preserve">   </w:t>
      </w:r>
      <w:r>
        <w:rPr>
          <w:b w:val="1"/>
          <w:sz w:val="28"/>
        </w:rPr>
        <w:t>СОВЕТ</w:t>
      </w:r>
    </w:p>
    <w:p w14:paraId="02000000">
      <w:pPr>
        <w:pStyle w:val="Style_2"/>
        <w:rPr>
          <w:b w:val="1"/>
          <w:sz w:val="28"/>
        </w:rPr>
      </w:pPr>
      <w:r>
        <w:rPr>
          <w:b w:val="1"/>
          <w:sz w:val="28"/>
        </w:rPr>
        <w:t xml:space="preserve">                  ДЕРГАЧЕВСКОГО МУНИЦИПАЛЬНОГО ОБРАЗОВАНИЯ</w:t>
      </w:r>
    </w:p>
    <w:p w14:paraId="03000000">
      <w:pPr>
        <w:pStyle w:val="Style_2"/>
        <w:rPr>
          <w:b w:val="1"/>
          <w:sz w:val="28"/>
        </w:rPr>
      </w:pPr>
      <w:r>
        <w:rPr>
          <w:b w:val="1"/>
          <w:sz w:val="28"/>
        </w:rPr>
        <w:t xml:space="preserve">                  ДЕРГАЧЕВСКОГО МУНИЦИПАЛЬНОГО РАЙОНА</w:t>
      </w:r>
    </w:p>
    <w:p w14:paraId="04000000">
      <w:pPr>
        <w:pStyle w:val="Style_2"/>
        <w:rPr>
          <w:b w:val="1"/>
          <w:sz w:val="28"/>
        </w:rPr>
      </w:pPr>
    </w:p>
    <w:p w14:paraId="05000000">
      <w:pPr>
        <w:pStyle w:val="Style_2"/>
        <w:rPr>
          <w:b w:val="1"/>
          <w:sz w:val="28"/>
        </w:rPr>
      </w:pPr>
      <w:r>
        <w:rPr>
          <w:rFonts w:ascii="Times New Roman" w:hAnsi="Times New Roman"/>
          <w:b w:val="1"/>
          <w:sz w:val="28"/>
          <w:u w:val="none"/>
        </w:rPr>
        <w:t xml:space="preserve">                                                  РЕШЕНИЕ№  № 66-161 </w:t>
      </w:r>
    </w:p>
    <w:p w14:paraId="06000000">
      <w:pPr>
        <w:pStyle w:val="Style_2"/>
        <w:ind w:firstLine="0" w:left="709"/>
      </w:pPr>
      <w:r>
        <w:t xml:space="preserve">                                              </w:t>
      </w:r>
      <w:r>
        <w:rPr>
          <w:sz w:val="28"/>
        </w:rPr>
        <w:t xml:space="preserve"> 15 сентября 2026 г.</w:t>
      </w:r>
    </w:p>
    <w:p w14:paraId="07000000">
      <w:pPr>
        <w:ind w:firstLine="0" w:left="1418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</w:t>
      </w:r>
    </w:p>
    <w:p w14:paraId="08000000">
      <w:pPr>
        <w:tabs>
          <w:tab w:leader="none" w:pos="1842" w:val="left"/>
        </w:tabs>
        <w:ind w:firstLine="0" w:left="709"/>
      </w:pPr>
    </w:p>
    <w:p w14:paraId="09000000">
      <w:pPr>
        <w:tabs>
          <w:tab w:leader="none" w:pos="1842" w:val="left"/>
        </w:tabs>
        <w:ind w:firstLine="0" w:left="709"/>
        <w:rPr>
          <w:sz w:val="28"/>
        </w:rPr>
      </w:pPr>
      <w:r>
        <w:rPr>
          <w:sz w:val="28"/>
        </w:rPr>
        <w:t xml:space="preserve">О внесении изменений в Генеральный план </w:t>
      </w:r>
    </w:p>
    <w:p w14:paraId="0A000000">
      <w:pPr>
        <w:tabs>
          <w:tab w:leader="none" w:pos="1842" w:val="left"/>
        </w:tabs>
        <w:ind w:firstLine="0" w:left="709"/>
        <w:rPr>
          <w:sz w:val="28"/>
        </w:rPr>
      </w:pPr>
      <w:r>
        <w:rPr>
          <w:sz w:val="28"/>
        </w:rPr>
        <w:t xml:space="preserve">Дергачевского муниципального образования </w:t>
      </w:r>
    </w:p>
    <w:p w14:paraId="0B000000">
      <w:pPr>
        <w:tabs>
          <w:tab w:leader="none" w:pos="1842" w:val="left"/>
        </w:tabs>
        <w:ind w:firstLine="0" w:left="709"/>
        <w:rPr>
          <w:sz w:val="28"/>
        </w:rPr>
      </w:pPr>
      <w:r>
        <w:rPr>
          <w:sz w:val="28"/>
        </w:rPr>
        <w:t xml:space="preserve">Дергачевского муниципального района </w:t>
      </w:r>
    </w:p>
    <w:p w14:paraId="0C000000">
      <w:pPr>
        <w:tabs>
          <w:tab w:leader="none" w:pos="1842" w:val="left"/>
        </w:tabs>
        <w:ind w:firstLine="0" w:left="709"/>
        <w:rPr>
          <w:sz w:val="28"/>
        </w:rPr>
      </w:pPr>
      <w:r>
        <w:rPr>
          <w:sz w:val="28"/>
        </w:rPr>
        <w:t>Саратовской области</w:t>
      </w:r>
    </w:p>
    <w:p w14:paraId="0D000000">
      <w:pPr>
        <w:ind w:firstLine="708" w:left="709"/>
        <w:jc w:val="both"/>
        <w:rPr>
          <w:sz w:val="28"/>
        </w:rPr>
      </w:pPr>
    </w:p>
    <w:p w14:paraId="0E000000">
      <w:pPr>
        <w:ind w:firstLine="708" w:left="709"/>
        <w:jc w:val="both"/>
        <w:rPr>
          <w:sz w:val="28"/>
        </w:rPr>
      </w:pPr>
    </w:p>
    <w:p w14:paraId="0F000000">
      <w:pPr>
        <w:ind w:firstLine="708" w:left="709"/>
        <w:jc w:val="both"/>
        <w:rPr>
          <w:rFonts w:ascii="Calibri" w:hAnsi="Calibri"/>
          <w:sz w:val="28"/>
        </w:rPr>
      </w:pPr>
      <w:r>
        <w:rPr>
          <w:sz w:val="28"/>
        </w:rPr>
        <w:t xml:space="preserve">На основании </w:t>
      </w:r>
      <w:r>
        <w:rPr>
          <w:sz w:val="28"/>
        </w:rPr>
        <w:t>ст. 23</w:t>
      </w:r>
      <w:r>
        <w:rPr>
          <w:sz w:val="28"/>
        </w:rPr>
        <w:t xml:space="preserve"> Градостроительного кодекса Российской Федерации, </w:t>
      </w:r>
      <w:r>
        <w:rPr>
          <w:sz w:val="28"/>
        </w:rPr>
        <w:t xml:space="preserve"> Федеральным законом от 20 марта 2025 года № 33-ФЗ «Об общих принципах организации местного самоуправления в единой системе публичной власти»</w:t>
      </w:r>
      <w:r>
        <w:rPr>
          <w:sz w:val="28"/>
        </w:rPr>
        <w:t xml:space="preserve">, Совет </w:t>
      </w:r>
      <w:r>
        <w:rPr>
          <w:sz w:val="28"/>
        </w:rPr>
        <w:t xml:space="preserve">Дергачевского </w:t>
      </w:r>
      <w:r>
        <w:rPr>
          <w:sz w:val="28"/>
        </w:rPr>
        <w:t xml:space="preserve">муниципального образования  </w:t>
      </w:r>
      <w:r>
        <w:rPr>
          <w:sz w:val="28"/>
        </w:rPr>
        <w:t>Дергачевского муниципального района Саратовской области</w:t>
      </w:r>
    </w:p>
    <w:p w14:paraId="10000000">
      <w:pPr>
        <w:ind w:firstLine="708" w:left="709"/>
        <w:jc w:val="both"/>
        <w:rPr>
          <w:sz w:val="28"/>
        </w:rPr>
      </w:pPr>
    </w:p>
    <w:p w14:paraId="11000000">
      <w:pPr>
        <w:ind w:firstLine="708" w:left="709"/>
        <w:rPr>
          <w:b w:val="1"/>
          <w:sz w:val="28"/>
        </w:rPr>
      </w:pPr>
      <w:r>
        <w:rPr>
          <w:b w:val="1"/>
          <w:sz w:val="28"/>
        </w:rPr>
        <w:t xml:space="preserve">                                                      РЕШИЛ:</w:t>
      </w:r>
    </w:p>
    <w:p w14:paraId="12000000">
      <w:pPr>
        <w:ind w:firstLine="708" w:left="709"/>
        <w:jc w:val="both"/>
        <w:rPr>
          <w:sz w:val="28"/>
        </w:rPr>
      </w:pPr>
    </w:p>
    <w:p w14:paraId="13000000">
      <w:pPr>
        <w:ind w:firstLine="708" w:left="709"/>
        <w:jc w:val="both"/>
        <w:rPr>
          <w:sz w:val="28"/>
        </w:rPr>
      </w:pPr>
      <w:r>
        <w:rPr>
          <w:sz w:val="28"/>
        </w:rPr>
        <w:t xml:space="preserve">1. Утвердить </w:t>
      </w:r>
      <w:r>
        <w:rPr>
          <w:sz w:val="28"/>
        </w:rPr>
        <w:t>внесение изменений в Генеральный план Дергачевского муниципального образования Дергачевского муниципального района Саратовской области в соответствии с представленной проектной документацией (</w:t>
      </w:r>
      <w:r>
        <w:rPr>
          <w:sz w:val="28"/>
        </w:rPr>
        <w:t>прилагается</w:t>
      </w:r>
      <w:r>
        <w:rPr>
          <w:sz w:val="28"/>
        </w:rPr>
        <w:t>)</w:t>
      </w:r>
      <w:r>
        <w:rPr>
          <w:sz w:val="28"/>
        </w:rPr>
        <w:t>.</w:t>
      </w:r>
    </w:p>
    <w:p w14:paraId="14000000">
      <w:pPr>
        <w:ind w:firstLine="708" w:left="709"/>
        <w:jc w:val="both"/>
        <w:rPr>
          <w:sz w:val="28"/>
        </w:rPr>
      </w:pPr>
      <w:r>
        <w:rPr>
          <w:sz w:val="28"/>
        </w:rPr>
        <w:t xml:space="preserve">2.Данное  решение опубликовать на официальном сайте администрации </w:t>
      </w:r>
      <w:r>
        <w:rPr>
          <w:sz w:val="28"/>
        </w:rPr>
        <w:t>Дергачевского муниципального района</w:t>
      </w:r>
      <w:r>
        <w:rPr>
          <w:sz w:val="28"/>
        </w:rPr>
        <w:t>.</w:t>
      </w:r>
    </w:p>
    <w:p w14:paraId="15000000">
      <w:pPr>
        <w:ind w:firstLine="708" w:left="709"/>
        <w:jc w:val="both"/>
      </w:pPr>
    </w:p>
    <w:p w14:paraId="16000000">
      <w:pPr>
        <w:ind w:firstLine="708" w:left="709"/>
        <w:jc w:val="both"/>
      </w:pPr>
    </w:p>
    <w:p w14:paraId="17000000">
      <w:pPr>
        <w:ind w:firstLine="0" w:left="709"/>
        <w:jc w:val="both"/>
        <w:rPr>
          <w:rFonts w:ascii="Times New Roman" w:hAnsi="Times New Roman"/>
          <w:b w:val="1"/>
          <w:sz w:val="28"/>
        </w:rPr>
      </w:pPr>
    </w:p>
    <w:p w14:paraId="18000000">
      <w:pPr>
        <w:ind w:firstLine="0" w:left="709"/>
        <w:jc w:val="both"/>
        <w:rPr>
          <w:rFonts w:ascii="Times New Roman" w:hAnsi="Times New Roman"/>
          <w:b w:val="1"/>
          <w:sz w:val="28"/>
        </w:rPr>
      </w:pPr>
    </w:p>
    <w:p w14:paraId="19000000">
      <w:pPr>
        <w:ind w:firstLine="0" w:left="709"/>
        <w:jc w:val="both"/>
        <w:rPr>
          <w:rFonts w:ascii="Times New Roman" w:hAnsi="Times New Roman"/>
          <w:b w:val="1"/>
          <w:sz w:val="28"/>
        </w:rPr>
      </w:pPr>
    </w:p>
    <w:p w14:paraId="1A000000">
      <w:pPr>
        <w:ind w:firstLine="0" w:left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 И.О.главы Дергачевского</w:t>
      </w:r>
    </w:p>
    <w:p w14:paraId="1B000000">
      <w:pPr>
        <w:ind w:firstLine="0" w:left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муниципального образования                                               Полещук Ф.М.</w:t>
      </w:r>
    </w:p>
    <w:p w14:paraId="1C000000">
      <w:pPr>
        <w:ind w:firstLine="0" w:left="709"/>
        <w:rPr>
          <w:b w:val="1"/>
        </w:rPr>
      </w:pPr>
      <w:r>
        <w:rPr>
          <w:b w:val="1"/>
          <w:sz w:val="28"/>
        </w:rPr>
        <w:t xml:space="preserve"> </w:t>
      </w:r>
    </w:p>
    <w:sectPr/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rPr>
      <w:sz w:val="24"/>
    </w:rPr>
  </w:style>
  <w:style w:default="1" w:styleId="Style_2_ch" w:type="character">
    <w:name w:val="Normal"/>
    <w:link w:val="Style_2"/>
    <w:rPr>
      <w:sz w:val="24"/>
    </w:rPr>
  </w:style>
  <w:style w:styleId="Style_3" w:type="paragraph">
    <w:name w:val="toc 2"/>
    <w:next w:val="Style_2"/>
    <w:link w:val="Style_3_ch"/>
    <w:uiPriority w:val="39"/>
    <w:pPr>
      <w:ind w:firstLine="0" w:left="200"/>
    </w:pPr>
  </w:style>
  <w:style w:styleId="Style_3_ch" w:type="character">
    <w:name w:val="toc 2"/>
    <w:link w:val="Style_3"/>
  </w:style>
  <w:style w:styleId="Style_4" w:type="paragraph">
    <w:name w:val="toc 4"/>
    <w:next w:val="Style_2"/>
    <w:link w:val="Style_4_ch"/>
    <w:uiPriority w:val="39"/>
    <w:pPr>
      <w:ind w:firstLine="0" w:left="600"/>
    </w:pPr>
  </w:style>
  <w:style w:styleId="Style_4_ch" w:type="character">
    <w:name w:val="toc 4"/>
    <w:link w:val="Style_4"/>
  </w:style>
  <w:style w:styleId="Style_5" w:type="paragraph">
    <w:name w:val="toc 6"/>
    <w:next w:val="Style_2"/>
    <w:link w:val="Style_5_ch"/>
    <w:uiPriority w:val="39"/>
    <w:pPr>
      <w:ind w:firstLine="0" w:left="1000"/>
    </w:pPr>
  </w:style>
  <w:style w:styleId="Style_5_ch" w:type="character">
    <w:name w:val="toc 6"/>
    <w:link w:val="Style_5"/>
  </w:style>
  <w:style w:styleId="Style_6" w:type="paragraph">
    <w:name w:val="toc 7"/>
    <w:next w:val="Style_2"/>
    <w:link w:val="Style_6_ch"/>
    <w:uiPriority w:val="39"/>
    <w:pPr>
      <w:ind w:firstLine="0" w:left="1200"/>
    </w:pPr>
  </w:style>
  <w:style w:styleId="Style_6_ch" w:type="character">
    <w:name w:val="toc 7"/>
    <w:link w:val="Style_6"/>
  </w:style>
  <w:style w:styleId="Style_7" w:type="paragraph">
    <w:name w:val="heading 3"/>
    <w:next w:val="Style_2"/>
    <w:link w:val="Style_7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7_ch" w:type="character">
    <w:name w:val="heading 3"/>
    <w:link w:val="Style_7"/>
    <w:rPr>
      <w:rFonts w:ascii="XO Thames" w:hAnsi="XO Thames"/>
      <w:b w:val="1"/>
      <w:i w:val="1"/>
      <w:color w:val="000000"/>
    </w:rPr>
  </w:style>
  <w:style w:styleId="Style_8" w:type="paragraph">
    <w:name w:val="toc 3"/>
    <w:next w:val="Style_2"/>
    <w:link w:val="Style_8_ch"/>
    <w:uiPriority w:val="39"/>
    <w:pPr>
      <w:ind w:firstLine="0" w:left="400"/>
    </w:pPr>
  </w:style>
  <w:style w:styleId="Style_8_ch" w:type="character">
    <w:name w:val="toc 3"/>
    <w:link w:val="Style_8"/>
  </w:style>
  <w:style w:styleId="Style_9" w:type="paragraph">
    <w:name w:val="heading 5"/>
    <w:next w:val="Style_2"/>
    <w:link w:val="Style_9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9_ch" w:type="character">
    <w:name w:val="heading 5"/>
    <w:link w:val="Style_9"/>
    <w:rPr>
      <w:rFonts w:ascii="XO Thames" w:hAnsi="XO Thames"/>
      <w:b w:val="1"/>
      <w:color w:val="000000"/>
      <w:sz w:val="22"/>
    </w:rPr>
  </w:style>
  <w:style w:styleId="Style_10" w:type="paragraph">
    <w:name w:val="heading 1"/>
    <w:next w:val="Style_2"/>
    <w:link w:val="Style_10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2" w:type="paragraph">
    <w:name w:val="Hyperlink"/>
    <w:link w:val="Style_12_ch"/>
    <w:rPr>
      <w:color w:val="0000FF"/>
      <w:u w:val="single"/>
    </w:rPr>
  </w:style>
  <w:style w:styleId="Style_12_ch" w:type="character">
    <w:name w:val="Hyperlink"/>
    <w:link w:val="Style_12"/>
    <w:rPr>
      <w:color w:val="0000FF"/>
      <w:u w:val="single"/>
    </w:rPr>
  </w:style>
  <w:style w:styleId="Style_13" w:type="paragraph">
    <w:name w:val="Footnote"/>
    <w:link w:val="Style_13_ch"/>
    <w:pPr>
      <w:ind/>
      <w:jc w:val="left"/>
    </w:pPr>
    <w:rPr>
      <w:rFonts w:ascii="XO Thames" w:hAnsi="XO Thames"/>
      <w:sz w:val="22"/>
    </w:rPr>
  </w:style>
  <w:style w:styleId="Style_13_ch" w:type="character">
    <w:name w:val="Footnote"/>
    <w:link w:val="Style_13"/>
    <w:rPr>
      <w:rFonts w:ascii="XO Thames" w:hAnsi="XO Thames"/>
      <w:sz w:val="22"/>
    </w:rPr>
  </w:style>
  <w:style w:styleId="Style_14" w:type="paragraph">
    <w:name w:val="toc 1"/>
    <w:next w:val="Style_2"/>
    <w:link w:val="Style_14_ch"/>
    <w:uiPriority w:val="39"/>
    <w:pPr>
      <w:ind w:firstLine="0" w:left="0"/>
    </w:pPr>
    <w:rPr>
      <w:rFonts w:ascii="XO Thames" w:hAnsi="XO Thames"/>
      <w:b w:val="1"/>
    </w:rPr>
  </w:style>
  <w:style w:styleId="Style_14_ch" w:type="character">
    <w:name w:val="toc 1"/>
    <w:link w:val="Style_14"/>
    <w:rPr>
      <w:rFonts w:ascii="XO Thames" w:hAnsi="XO Thames"/>
      <w:b w:val="1"/>
    </w:rPr>
  </w:style>
  <w:style w:styleId="Style_15" w:type="paragraph">
    <w:name w:val="Header and Footer"/>
    <w:link w:val="Style_15_ch"/>
    <w:pPr>
      <w:spacing w:line="360" w:lineRule="auto"/>
      <w:ind/>
    </w:pPr>
    <w:rPr>
      <w:rFonts w:ascii="XO Thames" w:hAnsi="XO Thames"/>
      <w:sz w:val="20"/>
    </w:rPr>
  </w:style>
  <w:style w:styleId="Style_15_ch" w:type="character">
    <w:name w:val="Header and Footer"/>
    <w:link w:val="Style_15"/>
    <w:rPr>
      <w:rFonts w:ascii="XO Thames" w:hAnsi="XO Thames"/>
      <w:sz w:val="20"/>
    </w:rPr>
  </w:style>
  <w:style w:styleId="Style_16" w:type="paragraph">
    <w:name w:val="toc 9"/>
    <w:next w:val="Style_2"/>
    <w:link w:val="Style_16_ch"/>
    <w:uiPriority w:val="39"/>
    <w:pPr>
      <w:ind w:firstLine="0" w:left="1600"/>
    </w:pPr>
  </w:style>
  <w:style w:styleId="Style_16_ch" w:type="character">
    <w:name w:val="toc 9"/>
    <w:link w:val="Style_16"/>
  </w:style>
  <w:style w:styleId="Style_17" w:type="paragraph">
    <w:name w:val="toc 8"/>
    <w:next w:val="Style_2"/>
    <w:link w:val="Style_17_ch"/>
    <w:uiPriority w:val="39"/>
    <w:pPr>
      <w:ind w:firstLine="0" w:left="1400"/>
    </w:pPr>
  </w:style>
  <w:style w:styleId="Style_17_ch" w:type="character">
    <w:name w:val="toc 8"/>
    <w:link w:val="Style_17"/>
  </w:style>
  <w:style w:styleId="Style_18" w:type="paragraph">
    <w:name w:val="toc 5"/>
    <w:next w:val="Style_2"/>
    <w:link w:val="Style_18_ch"/>
    <w:uiPriority w:val="39"/>
    <w:pPr>
      <w:ind w:firstLine="0" w:left="800"/>
    </w:pPr>
  </w:style>
  <w:style w:styleId="Style_18_ch" w:type="character">
    <w:name w:val="toc 5"/>
    <w:link w:val="Style_18"/>
  </w:style>
  <w:style w:styleId="Style_19" w:type="paragraph">
    <w:name w:val="Subtitle"/>
    <w:next w:val="Style_2"/>
    <w:link w:val="Style_19_ch"/>
    <w:uiPriority w:val="11"/>
    <w:qFormat/>
    <w:rPr>
      <w:rFonts w:ascii="XO Thames" w:hAnsi="XO Thames"/>
      <w:i w:val="1"/>
      <w:color w:val="616161"/>
      <w:sz w:val="24"/>
    </w:rPr>
  </w:style>
  <w:style w:styleId="Style_19_ch" w:type="character">
    <w:name w:val="Subtitle"/>
    <w:link w:val="Style_19"/>
    <w:rPr>
      <w:rFonts w:ascii="XO Thames" w:hAnsi="XO Thames"/>
      <w:i w:val="1"/>
      <w:color w:val="616161"/>
      <w:sz w:val="24"/>
    </w:rPr>
  </w:style>
  <w:style w:styleId="Style_20" w:type="paragraph">
    <w:name w:val="toc 10"/>
    <w:next w:val="Style_2"/>
    <w:link w:val="Style_20_ch"/>
    <w:uiPriority w:val="39"/>
    <w:pPr>
      <w:ind w:firstLine="0" w:left="1800"/>
    </w:pPr>
  </w:style>
  <w:style w:styleId="Style_20_ch" w:type="character">
    <w:name w:val="toc 10"/>
    <w:link w:val="Style_20"/>
  </w:style>
  <w:style w:styleId="Style_1" w:type="paragraph">
    <w:name w:val="Title"/>
    <w:next w:val="Style_2"/>
    <w:link w:val="Style_1_ch"/>
    <w:uiPriority w:val="10"/>
    <w:qFormat/>
    <w:rPr>
      <w:rFonts w:ascii="XO Thames" w:hAnsi="XO Thames"/>
      <w:b w:val="1"/>
      <w:sz w:val="52"/>
    </w:rPr>
  </w:style>
  <w:style w:styleId="Style_1_ch" w:type="character">
    <w:name w:val="Title"/>
    <w:link w:val="Style_1"/>
    <w:rPr>
      <w:rFonts w:ascii="XO Thames" w:hAnsi="XO Thames"/>
      <w:b w:val="1"/>
      <w:sz w:val="52"/>
    </w:rPr>
  </w:style>
  <w:style w:styleId="Style_21" w:type="paragraph">
    <w:name w:val="heading 4"/>
    <w:next w:val="Style_2"/>
    <w:link w:val="Style_21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1_ch" w:type="character">
    <w:name w:val="heading 4"/>
    <w:link w:val="Style_21"/>
    <w:rPr>
      <w:rFonts w:ascii="XO Thames" w:hAnsi="XO Thames"/>
      <w:b w:val="1"/>
      <w:color w:val="595959"/>
      <w:sz w:val="26"/>
    </w:rPr>
  </w:style>
  <w:style w:styleId="Style_22" w:type="paragraph">
    <w:name w:val="heading 2"/>
    <w:next w:val="Style_2"/>
    <w:link w:val="Style_22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2_ch" w:type="character">
    <w:name w:val="heading 2"/>
    <w:link w:val="Style_22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MyOffice-CoreFramework-Windows/22-903.417.5503.534.7@RELEASE-DESKTOP-SORREL_HOME-RC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2026-09-17T05:41:45Z</dcterms:modified>
</cp:coreProperties>
</file>