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СОВЕТ ДЕРГАЧЕВСКОГО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МУНИЦИПАЛЬНОГО ОБРАЗОВАНИЯ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ДЕРГАЧЕВСКОГО МУНИЦИПАЛЬНОГО РАЙОНА</w:t>
      </w:r>
    </w:p>
    <w:p w14:paraId="0400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САРАТОВСКОЙ ОБЛА</w:t>
      </w:r>
      <w:r>
        <w:rPr>
          <w:rFonts w:ascii="Times New Roman" w:hAnsi="Times New Roman"/>
          <w:b w:val="1"/>
          <w:sz w:val="24"/>
        </w:rPr>
        <w:t>СТИ</w:t>
      </w:r>
    </w:p>
    <w:p w14:paraId="05000000">
      <w:pPr>
        <w:pStyle w:val="Style_1"/>
        <w:rPr>
          <w:sz w:val="24"/>
        </w:rPr>
      </w:pPr>
      <w:r>
        <w:rPr>
          <w:sz w:val="24"/>
        </w:rPr>
        <w:t xml:space="preserve"> </w:t>
      </w:r>
    </w:p>
    <w:p w14:paraId="06000000">
      <w:pPr>
        <w:pStyle w:val="Style_1"/>
        <w:ind w:firstLine="708"/>
        <w:rPr>
          <w:sz w:val="24"/>
        </w:rPr>
      </w:pPr>
      <w:r>
        <w:rPr>
          <w:sz w:val="24"/>
        </w:rPr>
        <w:t xml:space="preserve">                                          РЕШЕНИЕ №</w:t>
      </w:r>
      <w:r>
        <w:rPr>
          <w:sz w:val="24"/>
        </w:rPr>
        <w:t xml:space="preserve"> 58-142</w:t>
      </w:r>
    </w:p>
    <w:p w14:paraId="07000000">
      <w:pPr>
        <w:pStyle w:val="Style_2"/>
      </w:pPr>
      <w:r>
        <w:t xml:space="preserve">                                                     </w:t>
      </w:r>
      <w:r>
        <w:rPr>
          <w:sz w:val="28"/>
        </w:rPr>
        <w:t xml:space="preserve">          24 декабря 2025 г.</w:t>
      </w:r>
    </w:p>
    <w:p w14:paraId="08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 утверждении Положения</w:t>
      </w:r>
      <w:r>
        <w:rPr>
          <w:rFonts w:ascii="Times New Roman" w:hAnsi="Times New Roman"/>
          <w:b w:val="1"/>
          <w:color w:val="000000"/>
          <w:sz w:val="28"/>
        </w:rPr>
        <w:t xml:space="preserve"> о депутатском фонде социальной поддержки, порядке и размерах возмещения расходов, связанных с осуществлением депутатской деятельности депутатами, выполняющими свои полномочия на непостоянной основе</w:t>
      </w:r>
      <w:r>
        <w:rPr>
          <w:rFonts w:ascii="Times New Roman" w:hAnsi="Times New Roman"/>
          <w:color w:val="000000"/>
          <w:sz w:val="28"/>
          <w:u w:val="none"/>
        </w:rPr>
        <w:t> </w:t>
      </w:r>
    </w:p>
    <w:p w14:paraId="0A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>Р</w:t>
      </w:r>
      <w:r>
        <w:rPr>
          <w:rFonts w:ascii="Times New Roman" w:hAnsi="Times New Roman"/>
          <w:color w:val="000000"/>
          <w:sz w:val="28"/>
          <w:u w:val="none"/>
        </w:rPr>
        <w:t xml:space="preserve">уководствуясь </w:t>
      </w:r>
      <w:r>
        <w:rPr>
          <w:rFonts w:ascii="PT Astra Serif" w:hAnsi="PT Astra Serif"/>
          <w:sz w:val="28"/>
        </w:rPr>
        <w:t xml:space="preserve"> Федеральным законом от 20 марта 2025 года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№ 33-ФЗ «Об общих принципах организации местного самоуправления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единой системе публичной власти»</w:t>
      </w:r>
      <w:r>
        <w:rPr>
          <w:rFonts w:ascii="PT Astra Serif" w:hAnsi="PT Astra Serif"/>
          <w:sz w:val="28"/>
        </w:rPr>
        <w:t>,</w:t>
      </w:r>
      <w:r>
        <w:rPr>
          <w:rFonts w:ascii="Times New Roman" w:hAnsi="Times New Roman"/>
          <w:color w:val="000000"/>
          <w:sz w:val="28"/>
          <w:u w:val="none"/>
        </w:rPr>
        <w:t xml:space="preserve">  Уставом </w:t>
      </w:r>
      <w:r>
        <w:rPr>
          <w:rFonts w:ascii="Times New Roman" w:hAnsi="Times New Roman"/>
          <w:color w:val="000000"/>
          <w:sz w:val="28"/>
          <w:u w:val="none"/>
        </w:rPr>
        <w:t xml:space="preserve">Дергачевского муниципального образования </w:t>
      </w:r>
      <w:r>
        <w:rPr>
          <w:rFonts w:ascii="Times New Roman" w:hAnsi="Times New Roman"/>
          <w:color w:val="000000"/>
          <w:sz w:val="28"/>
          <w:u w:val="none"/>
        </w:rPr>
        <w:t xml:space="preserve">Дергачевского муниципального района Саратовской области, </w:t>
      </w:r>
      <w:r>
        <w:rPr>
          <w:rFonts w:ascii="Times New Roman" w:hAnsi="Times New Roman"/>
          <w:color w:val="000000"/>
          <w:sz w:val="28"/>
          <w:u w:val="none"/>
        </w:rPr>
        <w:t>Со</w:t>
      </w:r>
      <w:r>
        <w:rPr>
          <w:rFonts w:ascii="Times New Roman" w:hAnsi="Times New Roman"/>
          <w:color w:val="000000"/>
          <w:sz w:val="28"/>
          <w:u w:val="none"/>
        </w:rPr>
        <w:t>вет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решил:</w:t>
      </w:r>
    </w:p>
    <w:p w14:paraId="0B000000">
      <w:pPr>
        <w:spacing w:after="163" w:line="240" w:lineRule="auto"/>
        <w:ind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        1. </w:t>
      </w:r>
      <w:r>
        <w:rPr>
          <w:rFonts w:ascii="Times New Roman" w:hAnsi="Times New Roman"/>
          <w:color w:val="000000"/>
          <w:sz w:val="28"/>
          <w:u w:val="none"/>
        </w:rPr>
        <w:t>В целях обеспечения оказания депутатами Со</w:t>
      </w:r>
      <w:r>
        <w:rPr>
          <w:rFonts w:ascii="Times New Roman" w:hAnsi="Times New Roman"/>
          <w:color w:val="000000"/>
          <w:sz w:val="28"/>
          <w:u w:val="none"/>
        </w:rPr>
        <w:t xml:space="preserve">вета Дергачевского муниципального образования </w:t>
      </w:r>
      <w:r>
        <w:rPr>
          <w:rFonts w:ascii="Times New Roman" w:hAnsi="Times New Roman"/>
          <w:color w:val="000000"/>
          <w:sz w:val="28"/>
          <w:u w:val="none"/>
        </w:rPr>
        <w:t xml:space="preserve">Дергачевского муниципального района Саратовской области социальной поддержки гражданам и экономической поддержке организаций, деятельность которых направлена на решение социально значимых для муниципального образования задач, установлении порядка и размерах возмещения расходов, связанных с осуществлением депутатской деятельности депутатами </w:t>
      </w:r>
      <w:r>
        <w:rPr>
          <w:rFonts w:ascii="Times New Roman" w:hAnsi="Times New Roman"/>
          <w:color w:val="000000"/>
          <w:sz w:val="28"/>
          <w:u w:val="none"/>
        </w:rPr>
        <w:t xml:space="preserve">Дергачевского муниципального образования </w:t>
      </w:r>
      <w:r>
        <w:rPr>
          <w:rFonts w:ascii="Times New Roman" w:hAnsi="Times New Roman"/>
          <w:color w:val="000000"/>
          <w:sz w:val="28"/>
          <w:u w:val="none"/>
        </w:rPr>
        <w:t xml:space="preserve">Дергачевского муниципального района Саратовской области, выполняющими свои полномочия на непостоянной основе, </w:t>
      </w:r>
      <w:r>
        <w:rPr>
          <w:rFonts w:ascii="Times New Roman" w:hAnsi="Times New Roman"/>
          <w:color w:val="000000"/>
          <w:sz w:val="28"/>
          <w:u w:val="none"/>
        </w:rPr>
        <w:t>   </w:t>
      </w:r>
    </w:p>
    <w:p w14:paraId="0C000000">
      <w:pPr>
        <w:spacing w:after="163" w:line="240" w:lineRule="auto"/>
        <w:ind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      1. Утвердить Положение о депутатском фонде социальной поддержки, порядке и размерах возмещения расходов, связанных с осуществлением депутатской деятельности депутатами, выполняющими свои полномочия на непостоянной основе, согласно приложению.</w:t>
      </w:r>
    </w:p>
    <w:p w14:paraId="0D000000">
      <w:pPr>
        <w:spacing w:after="163" w:line="240" w:lineRule="auto"/>
        <w:ind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         2. Настоящее решение вступает в силу с момента его опубликования на сайте администрации Дергачевского муниципального района Саратовской области и распространяется на отношения</w:t>
      </w:r>
      <w:r>
        <w:rPr>
          <w:rFonts w:ascii="Times New Roman" w:hAnsi="Times New Roman"/>
          <w:color w:val="000000"/>
          <w:sz w:val="28"/>
          <w:u w:val="none"/>
        </w:rPr>
        <w:t>,</w:t>
      </w:r>
      <w:r>
        <w:rPr>
          <w:rFonts w:ascii="Times New Roman" w:hAnsi="Times New Roman"/>
          <w:color w:val="000000"/>
          <w:sz w:val="28"/>
          <w:u w:val="none"/>
        </w:rPr>
        <w:t xml:space="preserve"> возникшие с 1 января 202</w:t>
      </w:r>
      <w:r>
        <w:rPr>
          <w:rFonts w:ascii="Times New Roman" w:hAnsi="Times New Roman"/>
          <w:color w:val="000000"/>
          <w:sz w:val="28"/>
          <w:u w:val="none"/>
        </w:rPr>
        <w:t>6</w:t>
      </w:r>
      <w:r>
        <w:rPr>
          <w:rFonts w:ascii="Times New Roman" w:hAnsi="Times New Roman"/>
          <w:color w:val="000000"/>
          <w:sz w:val="28"/>
          <w:u w:val="none"/>
        </w:rPr>
        <w:t xml:space="preserve"> года.</w:t>
      </w:r>
    </w:p>
    <w:p w14:paraId="0E000000">
      <w:pPr>
        <w:spacing w:after="163" w:line="240" w:lineRule="auto"/>
        <w:ind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 </w:t>
      </w:r>
    </w:p>
    <w:p w14:paraId="0F000000">
      <w:pPr>
        <w:spacing w:after="163" w:line="240" w:lineRule="auto"/>
        <w:ind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И.О. главы Дергачевского </w:t>
      </w:r>
    </w:p>
    <w:p w14:paraId="10000000">
      <w:pPr>
        <w:spacing w:after="163" w:line="240" w:lineRule="auto"/>
        <w:ind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муниципального образования</w:t>
      </w:r>
      <w:r>
        <w:rPr>
          <w:rFonts w:ascii="Times New Roman" w:hAnsi="Times New Roman"/>
          <w:color w:val="000000"/>
          <w:sz w:val="28"/>
          <w:u w:val="none"/>
        </w:rPr>
        <w:tab/>
      </w:r>
      <w:r>
        <w:rPr>
          <w:rFonts w:ascii="Times New Roman" w:hAnsi="Times New Roman"/>
          <w:color w:val="000000"/>
          <w:sz w:val="28"/>
          <w:u w:val="none"/>
        </w:rPr>
        <w:tab/>
      </w:r>
      <w:r>
        <w:rPr>
          <w:rFonts w:ascii="Times New Roman" w:hAnsi="Times New Roman"/>
          <w:color w:val="000000"/>
          <w:sz w:val="28"/>
          <w:u w:val="none"/>
        </w:rPr>
        <w:tab/>
      </w:r>
      <w:r>
        <w:rPr>
          <w:rFonts w:ascii="Times New Roman" w:hAnsi="Times New Roman"/>
          <w:color w:val="000000"/>
          <w:sz w:val="28"/>
          <w:u w:val="none"/>
        </w:rPr>
        <w:tab/>
      </w:r>
      <w:r>
        <w:rPr>
          <w:rFonts w:ascii="Times New Roman" w:hAnsi="Times New Roman"/>
          <w:color w:val="000000"/>
          <w:sz w:val="28"/>
          <w:u w:val="none"/>
        </w:rPr>
        <w:tab/>
      </w:r>
      <w:r>
        <w:rPr>
          <w:rFonts w:ascii="Times New Roman" w:hAnsi="Times New Roman"/>
          <w:color w:val="000000"/>
          <w:sz w:val="28"/>
          <w:u w:val="none"/>
        </w:rPr>
        <w:t xml:space="preserve">    </w:t>
      </w:r>
      <w:r>
        <w:rPr>
          <w:rFonts w:ascii="Times New Roman" w:hAnsi="Times New Roman"/>
          <w:color w:val="000000"/>
          <w:sz w:val="28"/>
          <w:u w:val="none"/>
        </w:rPr>
        <w:t xml:space="preserve"> ПолещукФ.М.</w:t>
      </w:r>
    </w:p>
    <w:p w14:paraId="11000000">
      <w:pPr>
        <w:spacing w:after="163" w:line="240" w:lineRule="auto"/>
        <w:ind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 </w:t>
      </w:r>
    </w:p>
    <w:p w14:paraId="12000000">
      <w:pPr>
        <w:spacing w:after="163" w:line="240" w:lineRule="auto"/>
        <w:ind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 </w:t>
      </w:r>
    </w:p>
    <w:p w14:paraId="13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</w:p>
    <w:p w14:paraId="14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Утверждено </w:t>
      </w:r>
    </w:p>
    <w:p w14:paraId="15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решением Совета</w:t>
      </w:r>
    </w:p>
    <w:p w14:paraId="16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от 24.12.25 г. № 58-142 </w:t>
      </w:r>
    </w:p>
    <w:p w14:paraId="17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 </w:t>
      </w:r>
      <w:r>
        <w:rPr>
          <w:rFonts w:ascii="Times New Roman" w:hAnsi="Times New Roman"/>
          <w:b w:val="1"/>
          <w:color w:val="000000"/>
          <w:sz w:val="28"/>
        </w:rPr>
        <w:t>Положение</w:t>
      </w:r>
    </w:p>
    <w:p w14:paraId="18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о депутатском фонде социальной поддержки, порядке и размерах возмещения расходов, связанных с осуществлением депутатской деятельности депутатами, выполняющими свои полномочия на непостоянной основе</w:t>
      </w:r>
    </w:p>
    <w:p w14:paraId="19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1A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 Общие положения</w:t>
      </w:r>
    </w:p>
    <w:p w14:paraId="1B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 Настоящим Положением определяется порядок формирования, использования, управления и </w:t>
      </w:r>
      <w:r>
        <w:rPr>
          <w:rFonts w:ascii="Times New Roman" w:hAnsi="Times New Roman"/>
          <w:color w:val="000000"/>
          <w:sz w:val="28"/>
        </w:rPr>
        <w:t>контроля за</w:t>
      </w:r>
      <w:r>
        <w:rPr>
          <w:rFonts w:ascii="Times New Roman" w:hAnsi="Times New Roman"/>
          <w:color w:val="000000"/>
          <w:sz w:val="28"/>
        </w:rPr>
        <w:t xml:space="preserve"> использованием средств депутатского фонда социальной поддержки и работы с наказами избирателей (далее – депутатский фонд) </w:t>
      </w:r>
      <w:r>
        <w:rPr>
          <w:rFonts w:ascii="Times New Roman" w:hAnsi="Times New Roman"/>
          <w:color w:val="000000"/>
          <w:sz w:val="28"/>
        </w:rPr>
        <w:t xml:space="preserve">Дергачевского </w:t>
      </w:r>
      <w:r>
        <w:rPr>
          <w:rFonts w:ascii="Times New Roman" w:hAnsi="Times New Roman"/>
          <w:color w:val="000000"/>
          <w:sz w:val="28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8"/>
        </w:rPr>
        <w:t xml:space="preserve">Дергачевский муниципальный район Саратовской области </w:t>
      </w:r>
      <w:r>
        <w:rPr>
          <w:rFonts w:ascii="Times New Roman" w:hAnsi="Times New Roman"/>
          <w:color w:val="000000"/>
          <w:sz w:val="28"/>
        </w:rPr>
        <w:t>(далее – район).</w:t>
      </w:r>
    </w:p>
    <w:p w14:paraId="1C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1.2. Настоящее Положение устанавливает порядок и размеры возмещения расходов, связанных с осуществлением депутатской деятельности, депутатами </w:t>
      </w:r>
      <w:r>
        <w:rPr>
          <w:rFonts w:ascii="Times New Roman" w:hAnsi="Times New Roman"/>
          <w:color w:val="000000"/>
          <w:sz w:val="28"/>
        </w:rPr>
        <w:t xml:space="preserve">Дергачевского муниципального образования </w:t>
      </w:r>
      <w:r>
        <w:rPr>
          <w:rFonts w:ascii="Times New Roman" w:hAnsi="Times New Roman"/>
          <w:color w:val="000000"/>
          <w:sz w:val="28"/>
        </w:rPr>
        <w:t xml:space="preserve">Дергачевского муниципального района Саратовской области (далее – </w:t>
      </w:r>
      <w:r>
        <w:rPr>
          <w:rFonts w:ascii="Times New Roman" w:hAnsi="Times New Roman"/>
          <w:color w:val="000000"/>
          <w:sz w:val="28"/>
        </w:rPr>
        <w:t xml:space="preserve">депутаты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>), осуществляющими свои полномочия на непостоянной основе.</w:t>
      </w:r>
    </w:p>
    <w:p w14:paraId="1D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1.3. Депутатский фонд является целевым бюджетным фондом и создается:</w:t>
      </w:r>
    </w:p>
    <w:p w14:paraId="1E000000">
      <w:pPr>
        <w:spacing w:after="163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1.3.1. для возмещения расходов </w:t>
      </w:r>
      <w:r>
        <w:rPr>
          <w:rFonts w:ascii="Times New Roman" w:hAnsi="Times New Roman"/>
          <w:color w:val="000000"/>
          <w:sz w:val="28"/>
        </w:rPr>
        <w:t>депутатов Со</w:t>
      </w:r>
      <w:r>
        <w:rPr>
          <w:rFonts w:ascii="Times New Roman" w:hAnsi="Times New Roman"/>
          <w:color w:val="000000"/>
          <w:sz w:val="28"/>
        </w:rPr>
        <w:t>вета</w:t>
      </w:r>
      <w:r>
        <w:rPr>
          <w:rFonts w:ascii="Times New Roman" w:hAnsi="Times New Roman"/>
          <w:color w:val="000000"/>
          <w:sz w:val="28"/>
        </w:rPr>
        <w:t xml:space="preserve"> МО</w:t>
      </w:r>
      <w:r>
        <w:rPr>
          <w:rFonts w:ascii="Times New Roman" w:hAnsi="Times New Roman"/>
          <w:color w:val="000000"/>
          <w:sz w:val="28"/>
        </w:rPr>
        <w:t>, связанных с осуществлением депутатской деятельности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оказания депутатами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 социальной и экономической поддержки гражданам, проживающим в муниципальном образовании, и организациям, расположенным на территории соответствующего избирательного округа района и выполнения наказов избирателей в соответствующем избирательном округе.</w:t>
      </w:r>
    </w:p>
    <w:p w14:paraId="1F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Порядок формирования депутатского фонда</w:t>
      </w:r>
    </w:p>
    <w:p w14:paraId="20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 Депутатский фонд формируется за счет средств, предусматриваемых ежегодно в бюджете района на цели, указанные в пункте 1.3 настоящего Положения.</w:t>
      </w:r>
    </w:p>
    <w:p w14:paraId="21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Финансирование выплат по возмещению расходов, связанных с осуществлением депутатской деятельности, осуществляется за счет средств, предусмотренных на обеспечение деятельности </w:t>
      </w:r>
      <w:r>
        <w:rPr>
          <w:rFonts w:ascii="Times New Roman" w:hAnsi="Times New Roman"/>
          <w:color w:val="000000"/>
          <w:sz w:val="28"/>
        </w:rPr>
        <w:t xml:space="preserve">районного Собрания </w:t>
      </w:r>
      <w:r>
        <w:rPr>
          <w:rFonts w:ascii="Times New Roman" w:hAnsi="Times New Roman"/>
          <w:color w:val="000000"/>
          <w:sz w:val="28"/>
        </w:rPr>
        <w:t>на текущий финансовый год.</w:t>
      </w:r>
    </w:p>
    <w:p w14:paraId="22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Размер средств депутатского фонда образуется из расчета:</w:t>
      </w:r>
    </w:p>
    <w:p w14:paraId="23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 xml:space="preserve"> 000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десять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тысяч</w:t>
      </w:r>
      <w:r>
        <w:rPr>
          <w:rFonts w:ascii="Times New Roman" w:hAnsi="Times New Roman"/>
          <w:color w:val="000000"/>
          <w:sz w:val="28"/>
        </w:rPr>
        <w:t xml:space="preserve">) рублей в год на каждого депутата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, на возмещение расходов </w:t>
      </w:r>
      <w:r>
        <w:rPr>
          <w:rFonts w:ascii="Times New Roman" w:hAnsi="Times New Roman"/>
          <w:color w:val="000000"/>
          <w:sz w:val="28"/>
        </w:rPr>
        <w:t xml:space="preserve">депутатов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, связанных с осуществлением депутатской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на</w:t>
      </w:r>
      <w:r>
        <w:rPr>
          <w:rFonts w:ascii="Times New Roman" w:hAnsi="Times New Roman"/>
          <w:color w:val="000000"/>
          <w:sz w:val="28"/>
        </w:rPr>
        <w:t xml:space="preserve"> оказание </w:t>
      </w:r>
      <w:r>
        <w:rPr>
          <w:rFonts w:ascii="Times New Roman" w:hAnsi="Times New Roman"/>
          <w:color w:val="000000"/>
          <w:sz w:val="28"/>
        </w:rPr>
        <w:t xml:space="preserve"> социальной и экономической поддержки гражданам, проживающим в муниципальном образовании, и организациям, расположенным на территории соответствующего избирательного округа района и выполнения наказов избирателей в соответствующем избирательном округе.</w:t>
      </w:r>
    </w:p>
    <w:p w14:paraId="24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 Направления использования средств депутатского фонда</w:t>
      </w:r>
    </w:p>
    <w:p w14:paraId="25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 Средства депутатского фонда направляются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:</w:t>
      </w:r>
    </w:p>
    <w:p w14:paraId="26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3.1.1. оказание незамедлительной помощи проживающим на территории избирательного округа социально незащищенным и малообеспеченным гражданам, оказавшимся в экстремальной ситуации (пострадавшим от стихийных бедствий, других обстоятельств непреодолимой силы, оказавшимся в сложной жизненной социально-экономической ситуации, не зависящей от их воли, а также в иных ситуациях экстремального характера);</w:t>
      </w:r>
    </w:p>
    <w:p w14:paraId="27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3.1.2. оказание социально-экономической поддержки организациям, расположенным на территории избирательного округа:</w:t>
      </w:r>
    </w:p>
    <w:p w14:paraId="28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на финансирование мероприятий в сфере культуры, образования, физической культуры и спорта, молодежной политики, а также участие в социально-значимых проектах, реализуемых на территории поселения района, и финансируемых за счет средств местного бюджета;</w:t>
      </w:r>
    </w:p>
    <w:p w14:paraId="29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некоммерческим организациям, деятельность которых направлена на выполнение социально значимых для района задач;</w:t>
      </w:r>
    </w:p>
    <w:p w14:paraId="2A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3.1.3. возмещение расходов </w:t>
      </w:r>
      <w:r>
        <w:rPr>
          <w:rFonts w:ascii="Times New Roman" w:hAnsi="Times New Roman"/>
          <w:color w:val="000000"/>
          <w:sz w:val="28"/>
        </w:rPr>
        <w:t xml:space="preserve">депутатов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>, связанных с осуществле</w:t>
      </w:r>
      <w:r>
        <w:rPr>
          <w:rFonts w:ascii="Times New Roman" w:hAnsi="Times New Roman"/>
          <w:color w:val="000000"/>
          <w:sz w:val="28"/>
        </w:rPr>
        <w:t>нием депутатской деятельности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2B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3.2. Депутат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вправе полностью либо частично (на определенный период времени) отказаться от выплаты денежных средств по возмещению расходов, связанных с осуществлением депутатской деятельности, для чего подает личное заявление на имя председателя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>.</w:t>
      </w:r>
    </w:p>
    <w:p w14:paraId="2C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Увеличение либо уменьшение размеров выплаты в течение финансового года не допускается.</w:t>
      </w:r>
    </w:p>
    <w:p w14:paraId="2D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3.3.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ерераспределение невостребованных средств</w:t>
      </w:r>
      <w:r>
        <w:rPr>
          <w:rFonts w:ascii="Times New Roman" w:hAnsi="Times New Roman"/>
          <w:color w:val="000000"/>
          <w:sz w:val="28"/>
        </w:rPr>
        <w:t xml:space="preserve"> депутатского фонда </w:t>
      </w:r>
      <w:r>
        <w:rPr>
          <w:rFonts w:ascii="Times New Roman" w:hAnsi="Times New Roman"/>
          <w:color w:val="000000"/>
          <w:sz w:val="28"/>
        </w:rPr>
        <w:t xml:space="preserve">возможно </w:t>
      </w:r>
      <w:r>
        <w:rPr>
          <w:rFonts w:ascii="Times New Roman" w:hAnsi="Times New Roman"/>
          <w:color w:val="000000"/>
          <w:sz w:val="28"/>
        </w:rPr>
        <w:t xml:space="preserve">по решению депутатов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>.</w:t>
      </w:r>
    </w:p>
    <w:p w14:paraId="2E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4. Порядок управления и использования средств депутатского фонда</w:t>
      </w:r>
    </w:p>
    <w:p w14:paraId="2F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4.1. Депутат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 распоряжается частью средств фонда в пределах размера, предусмотренного пунктом 2.3 настоящего  Положения.</w:t>
      </w:r>
    </w:p>
    <w:p w14:paraId="30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4.2. Учет средств, которыми вправе распоряжаться </w:t>
      </w:r>
      <w:r>
        <w:rPr>
          <w:rFonts w:ascii="Times New Roman" w:hAnsi="Times New Roman"/>
          <w:color w:val="000000"/>
          <w:sz w:val="28"/>
        </w:rPr>
        <w:t xml:space="preserve">депутаты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>, производится отделом бухгалтерского учета администрации района.</w:t>
      </w:r>
    </w:p>
    <w:p w14:paraId="31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4.3. В год, в котором осуществляются выборы </w:t>
      </w:r>
      <w:r>
        <w:rPr>
          <w:rFonts w:ascii="Times New Roman" w:hAnsi="Times New Roman"/>
          <w:color w:val="000000"/>
          <w:sz w:val="28"/>
        </w:rPr>
        <w:t xml:space="preserve">депутатов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нового созыва, каждый из </w:t>
      </w:r>
      <w:r>
        <w:rPr>
          <w:rFonts w:ascii="Times New Roman" w:hAnsi="Times New Roman"/>
          <w:color w:val="000000"/>
          <w:sz w:val="28"/>
        </w:rPr>
        <w:t xml:space="preserve">депутатов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действующего созыва вправе самостоятельно распоряжаться средствами депутатского фонда, </w:t>
      </w:r>
      <w:r>
        <w:rPr>
          <w:rFonts w:ascii="Times New Roman" w:hAnsi="Times New Roman"/>
          <w:color w:val="000000"/>
          <w:sz w:val="28"/>
        </w:rPr>
        <w:t>предусмотренной</w:t>
      </w:r>
      <w:r>
        <w:rPr>
          <w:rFonts w:ascii="Times New Roman" w:hAnsi="Times New Roman"/>
          <w:color w:val="000000"/>
          <w:sz w:val="28"/>
        </w:rPr>
        <w:t xml:space="preserve"> на него в размере, определяемом пропорционально сроку его депутатских полномочий в данном финансовом году.</w:t>
      </w:r>
    </w:p>
    <w:p w14:paraId="32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Каждый из </w:t>
      </w:r>
      <w:r>
        <w:rPr>
          <w:rFonts w:ascii="Times New Roman" w:hAnsi="Times New Roman"/>
          <w:color w:val="000000"/>
          <w:sz w:val="28"/>
        </w:rPr>
        <w:t xml:space="preserve">депутатов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нового созыва вправе самостоятельно распоряжаться оставшейся частью средств депутатского фонда своего избирательного округа.</w:t>
      </w:r>
    </w:p>
    <w:p w14:paraId="33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4.4. Выделение средств из депутатского фонда осуществляется на основании заявки депутата, составляемой по форме согласно приложению №1 к настоящему Положению.</w:t>
      </w:r>
    </w:p>
    <w:p w14:paraId="34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4.5. Заявка оформляется в двух экземплярах, которая предоставляются председателю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. К заявке прилагается заявление гражданина (организации) на имя депутата </w:t>
      </w:r>
      <w:r>
        <w:rPr>
          <w:rFonts w:ascii="Times New Roman" w:hAnsi="Times New Roman"/>
          <w:color w:val="000000"/>
          <w:sz w:val="28"/>
        </w:rPr>
        <w:t xml:space="preserve">Совета МО </w:t>
      </w:r>
      <w:r>
        <w:rPr>
          <w:rFonts w:ascii="Times New Roman" w:hAnsi="Times New Roman"/>
          <w:color w:val="000000"/>
          <w:sz w:val="28"/>
        </w:rPr>
        <w:t>об оказании социальной поддержки и подтверждающие документы, обосновывающие необходимость оказания социальной поддержки.</w:t>
      </w:r>
    </w:p>
    <w:p w14:paraId="35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4.6. В заявлении на имя депутата указывается:</w:t>
      </w:r>
    </w:p>
    <w:p w14:paraId="36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фамилия, имя, отчество гражданина, адрес места жительства, данные паспорта либо организационно-правовая форма организации, юридический адрес, банковские реквизиты, в том числе номер расчетного счета, дата, номер государственной регистрации, орган, зарегистрировавший организацию;</w:t>
      </w:r>
    </w:p>
    <w:p w14:paraId="37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цели оказания социальной поддержки;</w:t>
      </w:r>
    </w:p>
    <w:p w14:paraId="38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обоснование необходимости предоставления помощи из средств депутатского фонда.</w:t>
      </w:r>
    </w:p>
    <w:p w14:paraId="39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Гражданин, организация по требованию депутата </w:t>
      </w:r>
      <w:r>
        <w:rPr>
          <w:rFonts w:ascii="Times New Roman" w:hAnsi="Times New Roman"/>
          <w:color w:val="000000"/>
          <w:sz w:val="28"/>
        </w:rPr>
        <w:t xml:space="preserve">Совета МО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обязаны представить документы, обосновывающие необходимость оказания социальной поддержки.</w:t>
      </w:r>
    </w:p>
    <w:p w14:paraId="3A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4.7. Один экземпляр заявки депутата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, согласованный председателем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>, передается в отдел  бухгалтерского учета администрации района, который на основании указанной заявки осуществляет перечисление средств. Второй экземпляр хранится у депутата, подавшего заявку.</w:t>
      </w:r>
    </w:p>
    <w:p w14:paraId="3B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4.8. Отдел бухгалтерского учета администрации района осуществляет расчеты в установленном порядке на основании заявки депутата  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заявления гражданина (организации):</w:t>
      </w:r>
    </w:p>
    <w:p w14:paraId="3C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получателями средств - организациями путем их перечисления на расчетный счет получателя;</w:t>
      </w:r>
    </w:p>
    <w:p w14:paraId="3D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с получателями средств - гражданами путем перечисления средств на  счет гражданина, указанный в заявлении.</w:t>
      </w:r>
    </w:p>
    <w:p w14:paraId="3E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4.9. </w:t>
      </w:r>
      <w:r>
        <w:rPr>
          <w:rFonts w:ascii="Times New Roman" w:hAnsi="Times New Roman"/>
          <w:color w:val="000000"/>
          <w:sz w:val="28"/>
        </w:rPr>
        <w:t xml:space="preserve">Депутаты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вправе расходовать полученные средства возмещения исключительно в целях возмещения расходов, связанных с осуществлением депутатской деятельности.</w:t>
      </w:r>
    </w:p>
    <w:p w14:paraId="3F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4.10. В течение 10 дней после истечения очередного квартала депутаты обязаны представить председателю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сведения о фактически затраченных средствах на осуществление расходов, связанных с депутатской деятельностью в форме служебной записки с приложением подтверждающих документов.</w:t>
      </w:r>
    </w:p>
    <w:p w14:paraId="40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4.11. Средства на возмещение расходов </w:t>
      </w:r>
      <w:r>
        <w:rPr>
          <w:rFonts w:ascii="Times New Roman" w:hAnsi="Times New Roman"/>
          <w:color w:val="000000"/>
          <w:sz w:val="28"/>
        </w:rPr>
        <w:t xml:space="preserve">депутатов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связанных с осуществлением депутатской деятельности перечисляются на основании заявки депутата, составляемой по форме согласно приложению №1 к настоящему Положению.</w:t>
      </w:r>
    </w:p>
    <w:p w14:paraId="41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4.12. Решение о выделении средств из депутатского фонда принимается на заседании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>.</w:t>
      </w:r>
    </w:p>
    <w:p w14:paraId="42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 xml:space="preserve">5. </w:t>
      </w:r>
      <w:r>
        <w:rPr>
          <w:rFonts w:ascii="Times New Roman" w:hAnsi="Times New Roman"/>
          <w:b w:val="1"/>
          <w:color w:val="000000"/>
          <w:sz w:val="28"/>
        </w:rPr>
        <w:t>Контроль за</w:t>
      </w:r>
      <w:r>
        <w:rPr>
          <w:rFonts w:ascii="Times New Roman" w:hAnsi="Times New Roman"/>
          <w:b w:val="1"/>
          <w:color w:val="000000"/>
          <w:sz w:val="28"/>
        </w:rPr>
        <w:t xml:space="preserve"> использованием средств депутатского фонда и отчетность</w:t>
      </w:r>
    </w:p>
    <w:p w14:paraId="43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5.1.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использованием средств депутатского фонда осуществляется</w:t>
      </w:r>
      <w:r>
        <w:rPr>
          <w:rFonts w:ascii="Times New Roman" w:hAnsi="Times New Roman"/>
          <w:color w:val="000000"/>
          <w:sz w:val="28"/>
        </w:rPr>
        <w:t xml:space="preserve"> отделом бухгалтерского учета администрации района</w:t>
      </w:r>
      <w:r>
        <w:rPr>
          <w:rFonts w:ascii="Times New Roman" w:hAnsi="Times New Roman"/>
          <w:color w:val="000000"/>
          <w:sz w:val="28"/>
        </w:rPr>
        <w:t>.</w:t>
      </w:r>
    </w:p>
    <w:p w14:paraId="44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5.2. Отчеты об использовании средств депутатского фонда готовятся и представляются на рассмотрение </w:t>
      </w:r>
      <w:r>
        <w:rPr>
          <w:rFonts w:ascii="Times New Roman" w:hAnsi="Times New Roman"/>
          <w:color w:val="000000"/>
          <w:sz w:val="28"/>
        </w:rPr>
        <w:t>Совету МО</w:t>
      </w:r>
      <w:r>
        <w:rPr>
          <w:rFonts w:ascii="Times New Roman" w:hAnsi="Times New Roman"/>
          <w:color w:val="000000"/>
          <w:sz w:val="28"/>
        </w:rPr>
        <w:t>:</w:t>
      </w:r>
    </w:p>
    <w:p w14:paraId="45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каждым депутатом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отношении части средств фонда, которая предусмотрена на цели, указанные в подпункте 1.3.2 пункта 1.3 настоящего Положения, для осуществления его деятельности и выполнения наказов избирателей в его избирательном округе;</w:t>
      </w:r>
    </w:p>
    <w:p w14:paraId="46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администрацией района в составе отчета об исполнении бюджета </w:t>
      </w:r>
      <w:r>
        <w:rPr>
          <w:rFonts w:ascii="Times New Roman" w:hAnsi="Times New Roman"/>
          <w:color w:val="000000"/>
          <w:sz w:val="28"/>
        </w:rPr>
        <w:t>МО</w:t>
      </w:r>
      <w:r>
        <w:rPr>
          <w:rFonts w:ascii="Times New Roman" w:hAnsi="Times New Roman"/>
          <w:color w:val="000000"/>
          <w:sz w:val="28"/>
        </w:rPr>
        <w:t xml:space="preserve"> по форме согласно приложению № 2 к настоящему Положению.  </w:t>
      </w:r>
    </w:p>
    <w:p w14:paraId="47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5.3. Отчеты представляются одновременно с отчетом за полугодие и годовым отчетом об исполнении бюджета </w:t>
      </w:r>
      <w:r>
        <w:rPr>
          <w:rFonts w:ascii="Times New Roman" w:hAnsi="Times New Roman"/>
          <w:color w:val="000000"/>
          <w:sz w:val="28"/>
        </w:rPr>
        <w:t>МО</w:t>
      </w:r>
      <w:r>
        <w:rPr>
          <w:rFonts w:ascii="Times New Roman" w:hAnsi="Times New Roman"/>
          <w:color w:val="000000"/>
          <w:sz w:val="28"/>
        </w:rPr>
        <w:t>.</w:t>
      </w:r>
    </w:p>
    <w:p w14:paraId="48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5.4. Возмещение расходов, связанных с осуществлением депутатской деятельности, в иных формах, </w:t>
      </w:r>
      <w:r>
        <w:rPr>
          <w:rFonts w:ascii="Times New Roman" w:hAnsi="Times New Roman"/>
          <w:color w:val="000000"/>
          <w:sz w:val="28"/>
        </w:rPr>
        <w:t>кроме</w:t>
      </w:r>
      <w:r>
        <w:rPr>
          <w:rFonts w:ascii="Times New Roman" w:hAnsi="Times New Roman"/>
          <w:color w:val="000000"/>
          <w:sz w:val="28"/>
        </w:rPr>
        <w:t xml:space="preserve"> предусмотренных настоящим Положением,  запрещается.</w:t>
      </w:r>
    </w:p>
    <w:p w14:paraId="49000000">
      <w:pPr>
        <w:spacing w:after="163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6. Ответственность депутатов за нецелевое использование средств депутатского фонда</w:t>
      </w:r>
    </w:p>
    <w:p w14:paraId="4A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6.1. В случае нецелевого использования средств из депутатского фонда </w:t>
      </w:r>
      <w:r>
        <w:rPr>
          <w:rFonts w:ascii="Times New Roman" w:hAnsi="Times New Roman"/>
          <w:color w:val="000000"/>
          <w:sz w:val="28"/>
        </w:rPr>
        <w:t xml:space="preserve">депутаты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>, допустившие нарушение, несут ответственность в соответствии с действующим законодательством.</w:t>
      </w:r>
    </w:p>
    <w:p w14:paraId="4B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6.2. Возмещение средств депутатского фонда, использованных не по назначению, осуществляется из сумм, предназначенных депутату для осуществления депутатской деятельности и собственных доходов депутата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>.</w:t>
      </w:r>
    </w:p>
    <w:p w14:paraId="4C000000">
      <w:pPr>
        <w:spacing w:after="163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Возмещение средств фонда из сумм, предназначенных депутату </w:t>
      </w:r>
      <w:r>
        <w:rPr>
          <w:rFonts w:ascii="Times New Roman" w:hAnsi="Times New Roman"/>
          <w:color w:val="000000"/>
          <w:sz w:val="28"/>
        </w:rPr>
        <w:t>Совета МО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для осуществления депутатской деятельности, осуществляется путем их удержания. Возмещение средств фонда из собственных доходов депутата </w:t>
      </w:r>
      <w:r>
        <w:rPr>
          <w:rFonts w:ascii="Times New Roman" w:hAnsi="Times New Roman"/>
          <w:color w:val="000000"/>
          <w:sz w:val="28"/>
        </w:rPr>
        <w:t xml:space="preserve">Совета МО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осуществляется в соответствии с законодательством Российской Федерации.</w:t>
      </w:r>
    </w:p>
    <w:p w14:paraId="4D000000">
      <w:pPr>
        <w:rPr>
          <w:rFonts w:ascii="Times New Roman" w:hAnsi="Times New Roman"/>
          <w:sz w:val="28"/>
        </w:rPr>
      </w:pPr>
    </w:p>
    <w:sectPr>
      <w:pgSz w:h="16838" w:w="11906"/>
      <w:pgMar w:bottom="709" w:footer="708" w:gutter="0" w:header="708" w:left="1701" w:right="566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Balloon Text"/>
    <w:basedOn w:val="Style_2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2_ch"/>
    <w:link w:val="Style_7"/>
    <w:rPr>
      <w:rFonts w:ascii="Tahoma" w:hAnsi="Tahoma"/>
      <w:sz w:val="16"/>
    </w:rPr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Normal (Web)"/>
    <w:basedOn w:val="Style_2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2_ch"/>
    <w:link w:val="Style_21"/>
    <w:rPr>
      <w:rFonts w:ascii="Times New Roman" w:hAnsi="Times New Roman"/>
      <w:sz w:val="24"/>
    </w:rPr>
  </w:style>
  <w:style w:styleId="Style_22" w:type="paragraph">
    <w:name w:val="Strong"/>
    <w:basedOn w:val="Style_19"/>
    <w:link w:val="Style_22_ch"/>
    <w:rPr>
      <w:b w:val="1"/>
    </w:rPr>
  </w:style>
  <w:style w:styleId="Style_22_ch" w:type="character">
    <w:name w:val="Strong"/>
    <w:basedOn w:val="Style_19_ch"/>
    <w:link w:val="Style_22"/>
    <w:rPr>
      <w:b w:val="1"/>
    </w:rPr>
  </w:style>
  <w:style w:styleId="Style_23" w:type="paragraph">
    <w:name w:val="toc 10"/>
    <w:next w:val="Style_2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1" w:type="paragraph">
    <w:name w:val="Title"/>
    <w:next w:val="Style_2"/>
    <w:link w:val="Style_1_ch"/>
    <w:uiPriority w:val="10"/>
    <w:qFormat/>
    <w:rPr>
      <w:rFonts w:ascii="XO Thames" w:hAnsi="XO Thames"/>
      <w:b w:val="1"/>
      <w:sz w:val="52"/>
    </w:rPr>
  </w:style>
  <w:style w:styleId="Style_1_ch" w:type="character">
    <w:name w:val="Title"/>
    <w:link w:val="Style_1"/>
    <w:rPr>
      <w:rFonts w:ascii="XO Thames" w:hAnsi="XO Thames"/>
      <w:b w:val="1"/>
      <w:sz w:val="52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2025-12-24T09:47:52Z</dcterms:modified>
</cp:coreProperties>
</file>