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sz w:val="23"/>
        </w:rPr>
      </w:pP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b w:val="1"/>
          <w:sz w:val="23"/>
        </w:rPr>
      </w:pPr>
    </w:p>
    <w:p w14:paraId="03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b w:val="1"/>
          <w:sz w:val="23"/>
        </w:rPr>
      </w:pPr>
    </w:p>
    <w:p w14:paraId="04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 СОБРАНИЕ</w:t>
      </w:r>
    </w:p>
    <w:p w14:paraId="06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7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Саратовской области</w:t>
      </w:r>
    </w:p>
    <w:p w14:paraId="08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b w:val="1"/>
          <w:sz w:val="23"/>
        </w:rPr>
      </w:pPr>
    </w:p>
    <w:p w14:paraId="09000000">
      <w:pPr>
        <w:rPr>
          <w:sz w:val="18"/>
        </w:rPr>
      </w:pPr>
      <w:r>
        <w:rPr>
          <w:sz w:val="22"/>
        </w:rPr>
        <w:t>2</w:t>
      </w:r>
      <w:r>
        <w:rPr>
          <w:sz w:val="22"/>
        </w:rPr>
        <w:t>9</w:t>
      </w:r>
      <w:r>
        <w:rPr>
          <w:sz w:val="22"/>
        </w:rPr>
        <w:t>.1</w:t>
      </w:r>
      <w:r>
        <w:rPr>
          <w:sz w:val="22"/>
        </w:rPr>
        <w:t>2</w:t>
      </w:r>
      <w:r>
        <w:rPr>
          <w:sz w:val="22"/>
        </w:rPr>
        <w:t>.202</w:t>
      </w:r>
      <w:r>
        <w:rPr>
          <w:sz w:val="22"/>
        </w:rPr>
        <w:t>5</w:t>
      </w:r>
      <w:r>
        <w:rPr>
          <w:sz w:val="22"/>
        </w:rPr>
        <w:t xml:space="preserve">г. № </w:t>
      </w:r>
      <w:r>
        <w:rPr>
          <w:sz w:val="22"/>
        </w:rPr>
        <w:t xml:space="preserve"> </w:t>
      </w:r>
      <w:r>
        <w:rPr>
          <w:sz w:val="18"/>
        </w:rPr>
        <w:t xml:space="preserve">72-427 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413440 Саратовская область                                                                                                                                                             </w:t>
      </w:r>
    </w:p>
    <w:p w14:paraId="0A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D000000">
      <w:pPr>
        <w:keepNext w:val="1"/>
        <w:ind/>
        <w:jc w:val="center"/>
        <w:outlineLvl w:val="6"/>
        <w:rPr>
          <w:b w:val="1"/>
          <w:sz w:val="28"/>
        </w:rPr>
      </w:pPr>
    </w:p>
    <w:p w14:paraId="0E000000">
      <w:pPr>
        <w:keepNext w:val="1"/>
        <w:ind/>
        <w:jc w:val="center"/>
        <w:outlineLvl w:val="6"/>
        <w:rPr>
          <w:sz w:val="28"/>
        </w:rPr>
      </w:pPr>
      <w:r>
        <w:rPr>
          <w:sz w:val="28"/>
        </w:rPr>
        <w:t>Решение № 72-427</w:t>
      </w:r>
    </w:p>
    <w:p w14:paraId="0F000000">
      <w:pPr>
        <w:widowControl w:val="0"/>
        <w:ind/>
      </w:pPr>
    </w:p>
    <w:p w14:paraId="10000000">
      <w:r>
        <w:t xml:space="preserve">                                                     </w:t>
      </w:r>
    </w:p>
    <w:p w14:paraId="11000000">
      <w:pPr>
        <w:pStyle w:val="Style_2"/>
      </w:pPr>
    </w:p>
    <w:p w14:paraId="12000000">
      <w:pPr>
        <w:pStyle w:val="Style_3"/>
        <w:rPr>
          <w:sz w:val="28"/>
        </w:rPr>
      </w:pPr>
      <w:r>
        <w:rPr>
          <w:sz w:val="28"/>
        </w:rPr>
        <w:t>Об утверждении прогнозного плана</w:t>
      </w:r>
    </w:p>
    <w:p w14:paraId="13000000">
      <w:pPr>
        <w:pStyle w:val="Style_3"/>
        <w:rPr>
          <w:sz w:val="28"/>
        </w:rPr>
      </w:pPr>
      <w:r>
        <w:rPr>
          <w:sz w:val="28"/>
        </w:rPr>
        <w:t xml:space="preserve">(программы) приватизации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</w:p>
    <w:p w14:paraId="14000000">
      <w:pPr>
        <w:pStyle w:val="Style_3"/>
        <w:rPr>
          <w:sz w:val="28"/>
        </w:rPr>
      </w:pPr>
      <w:r>
        <w:rPr>
          <w:sz w:val="28"/>
        </w:rPr>
        <w:t xml:space="preserve">имущества Дергачевского муниципального </w:t>
      </w:r>
    </w:p>
    <w:p w14:paraId="15000000">
      <w:pPr>
        <w:pStyle w:val="Style_3"/>
        <w:rPr>
          <w:sz w:val="28"/>
        </w:rPr>
      </w:pPr>
      <w:r>
        <w:rPr>
          <w:sz w:val="28"/>
        </w:rPr>
        <w:t>района Саратовской области на 202</w:t>
      </w:r>
      <w:r>
        <w:rPr>
          <w:sz w:val="28"/>
        </w:rPr>
        <w:t>6</w:t>
      </w:r>
      <w:r>
        <w:rPr>
          <w:sz w:val="28"/>
        </w:rPr>
        <w:t xml:space="preserve"> год</w:t>
      </w:r>
    </w:p>
    <w:p w14:paraId="16000000">
      <w:pPr>
        <w:ind/>
        <w:jc w:val="both"/>
        <w:rPr>
          <w:sz w:val="28"/>
        </w:rPr>
      </w:pPr>
    </w:p>
    <w:p w14:paraId="17000000">
      <w:pPr>
        <w:pStyle w:val="Style_3"/>
        <w:ind w:firstLine="708"/>
        <w:jc w:val="both"/>
        <w:rPr>
          <w:sz w:val="28"/>
        </w:rPr>
      </w:pPr>
    </w:p>
    <w:p w14:paraId="18000000">
      <w:pPr>
        <w:pStyle w:val="Style_3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21.12.2001 № 178-ФЗ «О приватизации государственного и муниципального имущества», прогнозным планом (программой) приватизации муниципального имущества Дергачевского муниципального района Саратовской области, утверждённый решением Собрания Дергачевского</w:t>
      </w:r>
      <w:r>
        <w:rPr>
          <w:sz w:val="28"/>
        </w:rPr>
        <w:t xml:space="preserve"> </w:t>
      </w:r>
      <w:r>
        <w:rPr>
          <w:sz w:val="28"/>
        </w:rPr>
        <w:t>муниципального района от 26.11.2024г. № 50-321,  руководствуясь Уставом Дергачевского муниципального района Саратовской области</w:t>
      </w:r>
    </w:p>
    <w:p w14:paraId="19000000">
      <w:pPr>
        <w:pStyle w:val="Style_3"/>
        <w:rPr>
          <w:sz w:val="28"/>
        </w:rPr>
      </w:pPr>
    </w:p>
    <w:p w14:paraId="1A000000">
      <w:pPr>
        <w:pStyle w:val="Style_4"/>
        <w:ind/>
        <w:jc w:val="center"/>
        <w:rPr>
          <w:b w:val="1"/>
          <w:caps w:val="1"/>
        </w:rPr>
      </w:pPr>
    </w:p>
    <w:p w14:paraId="1B000000">
      <w:pPr>
        <w:pStyle w:val="Style_4"/>
        <w:ind/>
        <w:jc w:val="center"/>
        <w:rPr>
          <w:b w:val="1"/>
        </w:rPr>
      </w:pPr>
      <w:r>
        <w:rPr>
          <w:b w:val="1"/>
          <w:caps w:val="1"/>
        </w:rPr>
        <w:t>Собрание</w:t>
      </w:r>
      <w:r>
        <w:rPr>
          <w:b w:val="1"/>
        </w:rPr>
        <w:t xml:space="preserve"> РЕШИЛО:</w:t>
      </w:r>
    </w:p>
    <w:p w14:paraId="1C000000">
      <w:pPr>
        <w:pStyle w:val="Style_4"/>
        <w:ind/>
        <w:jc w:val="center"/>
        <w:rPr>
          <w:b w:val="1"/>
        </w:rPr>
      </w:pPr>
    </w:p>
    <w:p w14:paraId="1D000000">
      <w:pPr>
        <w:pStyle w:val="Style_3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Утвердить п</w:t>
      </w:r>
      <w:r>
        <w:rPr>
          <w:sz w:val="28"/>
        </w:rPr>
        <w:t>рогнозный план (программу) приватизации муниципального имущества Дергачевского муниципального района Саратовской области на 202</w:t>
      </w:r>
      <w:r>
        <w:rPr>
          <w:sz w:val="28"/>
        </w:rPr>
        <w:t>6</w:t>
      </w:r>
      <w:r>
        <w:rPr>
          <w:sz w:val="28"/>
        </w:rPr>
        <w:t xml:space="preserve"> год (прилагается).</w:t>
      </w:r>
    </w:p>
    <w:p w14:paraId="1E000000">
      <w:pPr>
        <w:pStyle w:val="Style_3"/>
        <w:ind w:firstLine="0" w:left="900"/>
        <w:jc w:val="both"/>
        <w:rPr>
          <w:sz w:val="28"/>
        </w:rPr>
      </w:pPr>
    </w:p>
    <w:p w14:paraId="1F000000"/>
    <w:p w14:paraId="20000000">
      <w:pPr>
        <w:pStyle w:val="Style_3"/>
        <w:ind/>
        <w:jc w:val="both"/>
        <w:rPr>
          <w:b w:val="0"/>
          <w:sz w:val="28"/>
        </w:rPr>
      </w:pPr>
    </w:p>
    <w:p w14:paraId="21000000">
      <w:pPr>
        <w:pStyle w:val="Style_3"/>
        <w:ind/>
        <w:jc w:val="both"/>
        <w:rPr>
          <w:b w:val="0"/>
          <w:sz w:val="28"/>
        </w:rPr>
      </w:pPr>
    </w:p>
    <w:p w14:paraId="22000000">
      <w:pPr>
        <w:pStyle w:val="Style_3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 Собрания </w:t>
      </w:r>
    </w:p>
    <w:p w14:paraId="23000000">
      <w:pPr>
        <w:pStyle w:val="Style_3"/>
        <w:ind/>
        <w:jc w:val="both"/>
        <w:rPr>
          <w:b w:val="0"/>
          <w:sz w:val="28"/>
        </w:rPr>
      </w:pPr>
      <w:r>
        <w:rPr>
          <w:b w:val="0"/>
          <w:sz w:val="28"/>
        </w:rPr>
        <w:t>Дергачевского 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Шамьюнов</w:t>
      </w:r>
      <w:r>
        <w:rPr>
          <w:b w:val="0"/>
          <w:sz w:val="28"/>
        </w:rPr>
        <w:t xml:space="preserve"> Э.Р.</w:t>
      </w:r>
    </w:p>
    <w:p w14:paraId="24000000">
      <w:pPr>
        <w:pStyle w:val="Style_3"/>
        <w:ind/>
        <w:jc w:val="both"/>
        <w:rPr>
          <w:b w:val="0"/>
          <w:sz w:val="28"/>
        </w:rPr>
      </w:pPr>
    </w:p>
    <w:p w14:paraId="25000000">
      <w:pPr>
        <w:pStyle w:val="Style_3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Дергачевского </w:t>
      </w:r>
    </w:p>
    <w:p w14:paraId="26000000">
      <w:pPr>
        <w:pStyle w:val="Style_3"/>
        <w:ind/>
        <w:jc w:val="both"/>
        <w:rPr>
          <w:b w:val="0"/>
          <w:sz w:val="28"/>
        </w:rPr>
      </w:pPr>
      <w:r>
        <w:rPr>
          <w:b w:val="0"/>
          <w:sz w:val="28"/>
        </w:rPr>
        <w:t>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   </w:t>
      </w:r>
      <w:r>
        <w:rPr>
          <w:b w:val="0"/>
          <w:sz w:val="28"/>
        </w:rPr>
        <w:t xml:space="preserve">            </w:t>
      </w:r>
      <w:r>
        <w:rPr>
          <w:b w:val="0"/>
          <w:sz w:val="28"/>
        </w:rPr>
        <w:t>Мурзаков</w:t>
      </w:r>
      <w:r>
        <w:rPr>
          <w:b w:val="0"/>
          <w:sz w:val="28"/>
        </w:rPr>
        <w:t xml:space="preserve"> С.Н.</w:t>
      </w:r>
    </w:p>
    <w:p w14:paraId="27000000">
      <w:pPr>
        <w:pStyle w:val="Style_3"/>
        <w:ind/>
        <w:jc w:val="both"/>
        <w:rPr>
          <w:b w:val="0"/>
          <w:sz w:val="26"/>
        </w:rPr>
      </w:pPr>
    </w:p>
    <w:p w14:paraId="28000000">
      <w:pPr>
        <w:rPr>
          <w:b w:val="0"/>
          <w:sz w:val="28"/>
        </w:rPr>
      </w:pPr>
    </w:p>
    <w:p w14:paraId="29000000">
      <w:pPr>
        <w:rPr>
          <w:b w:val="0"/>
          <w:sz w:val="28"/>
        </w:rPr>
      </w:pPr>
    </w:p>
    <w:p w14:paraId="2A000000">
      <w:pPr>
        <w:rPr>
          <w:b w:val="0"/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Прогнозный план (программа) приватизации муниципального имущества Дергачевского муниципального района Саратовской области.</w:t>
      </w: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1.</w:t>
      </w:r>
    </w:p>
    <w:p w14:paraId="30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Основные направления реализации государственной политики в сфере приватизации муниципального имущества Дергачевского района в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году.</w:t>
      </w:r>
    </w:p>
    <w:p w14:paraId="31000000">
      <w:pPr>
        <w:ind/>
        <w:jc w:val="both"/>
        <w:rPr>
          <w:b w:val="1"/>
          <w:sz w:val="28"/>
        </w:rPr>
      </w:pPr>
    </w:p>
    <w:p w14:paraId="32000000">
      <w:pPr>
        <w:tabs>
          <w:tab w:leader="none" w:pos="6946" w:val="left"/>
        </w:tabs>
        <w:ind w:right="-1"/>
        <w:jc w:val="both"/>
        <w:rPr>
          <w:sz w:val="28"/>
        </w:rPr>
      </w:pPr>
      <w:r>
        <w:rPr>
          <w:sz w:val="28"/>
        </w:rPr>
        <w:t xml:space="preserve">          Прогнозный план (программа) приватизации муниципального имущества Дергачевского муниципального района на 202</w:t>
      </w:r>
      <w:r>
        <w:rPr>
          <w:sz w:val="28"/>
        </w:rPr>
        <w:t>6</w:t>
      </w:r>
      <w:r>
        <w:rPr>
          <w:sz w:val="28"/>
        </w:rPr>
        <w:t xml:space="preserve"> год (далее прогнозный план) разработан в соответствии с ЗСО «О приватизации государственного имущества Саратовской области», решением Собрания Дергачевского муниципального района №20-2629 от 31.05.2014 года «Об утверждении Положения «О порядке управления и распоряжения </w:t>
      </w:r>
      <w:r>
        <w:rPr>
          <w:sz w:val="28"/>
        </w:rPr>
        <w:t>имуществом</w:t>
      </w:r>
      <w:r>
        <w:rPr>
          <w:sz w:val="28"/>
        </w:rPr>
        <w:t xml:space="preserve"> находящимся в муниципальной собственности Дергачевского </w:t>
      </w:r>
      <w:r>
        <w:rPr>
          <w:sz w:val="28"/>
        </w:rPr>
        <w:t>муниципального района».</w:t>
      </w:r>
    </w:p>
    <w:p w14:paraId="33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1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Основными целями реализации Прогнозного плана являются повышение эффективности управления муниципальным имуществом </w:t>
      </w:r>
      <w:r>
        <w:rPr>
          <w:sz w:val="28"/>
        </w:rPr>
        <w:t xml:space="preserve">Дергачевского муниципального района </w:t>
      </w:r>
      <w:r>
        <w:rPr>
          <w:color w:val="333333"/>
          <w:sz w:val="28"/>
        </w:rPr>
        <w:t xml:space="preserve">(далее - муниципальным имуществом) и обеспечение планомерности процесса приватизации в </w:t>
      </w:r>
      <w:r>
        <w:rPr>
          <w:color w:val="333333"/>
          <w:sz w:val="28"/>
        </w:rPr>
        <w:t>Дергачевском</w:t>
      </w:r>
      <w:r>
        <w:rPr>
          <w:color w:val="333333"/>
          <w:sz w:val="28"/>
        </w:rPr>
        <w:t xml:space="preserve"> муниципальном ра</w:t>
      </w:r>
      <w:r>
        <w:rPr>
          <w:color w:val="333333"/>
          <w:sz w:val="28"/>
        </w:rPr>
        <w:t>й</w:t>
      </w:r>
      <w:r>
        <w:rPr>
          <w:color w:val="333333"/>
          <w:sz w:val="28"/>
        </w:rPr>
        <w:t>он</w:t>
      </w:r>
      <w:r>
        <w:rPr>
          <w:color w:val="333333"/>
          <w:sz w:val="28"/>
        </w:rPr>
        <w:t>е</w:t>
      </w:r>
      <w:r>
        <w:rPr>
          <w:color w:val="333333"/>
          <w:sz w:val="28"/>
        </w:rPr>
        <w:t>.</w:t>
      </w:r>
    </w:p>
    <w:p w14:paraId="34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 Приватизация муниципального имущества в 202</w:t>
      </w:r>
      <w:r>
        <w:rPr>
          <w:color w:val="333333"/>
          <w:sz w:val="28"/>
        </w:rPr>
        <w:t>6</w:t>
      </w:r>
      <w:r>
        <w:rPr>
          <w:color w:val="333333"/>
          <w:sz w:val="28"/>
        </w:rPr>
        <w:t> году будет направлена на решение следующих задач:</w:t>
      </w:r>
    </w:p>
    <w:p w14:paraId="35000000">
      <w:pPr>
        <w:pStyle w:val="Style_5"/>
        <w:spacing w:after="136" w:before="0"/>
        <w:ind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.1. Обеспечение доходов бюджета </w:t>
      </w:r>
      <w:r>
        <w:rPr>
          <w:sz w:val="28"/>
        </w:rPr>
        <w:t xml:space="preserve">Дергачевского муниципального района </w:t>
      </w:r>
      <w:r>
        <w:rPr>
          <w:color w:val="333333"/>
          <w:sz w:val="28"/>
        </w:rPr>
        <w:t xml:space="preserve">от реализации имущества, находящегося в собственности муниципального </w:t>
      </w:r>
      <w:r>
        <w:rPr>
          <w:color w:val="333333"/>
          <w:sz w:val="28"/>
        </w:rPr>
        <w:t>района</w:t>
      </w:r>
      <w:r>
        <w:rPr>
          <w:color w:val="333333"/>
          <w:sz w:val="28"/>
        </w:rPr>
        <w:t>;</w:t>
      </w:r>
    </w:p>
    <w:p w14:paraId="36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.2. Отчуждение имущества, не предназначенного </w:t>
      </w:r>
      <w:r>
        <w:rPr>
          <w:color w:val="333333"/>
          <w:sz w:val="28"/>
        </w:rPr>
        <w:t>для</w:t>
      </w:r>
      <w:r>
        <w:rPr>
          <w:color w:val="333333"/>
          <w:sz w:val="28"/>
        </w:rPr>
        <w:t>:</w:t>
      </w:r>
    </w:p>
    <w:p w14:paraId="37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- решения установленных законом вопросов местного значения;</w:t>
      </w:r>
    </w:p>
    <w:p w14:paraId="38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- 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Саратовской области;</w:t>
      </w:r>
    </w:p>
    <w:p w14:paraId="39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- 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</w:t>
      </w:r>
      <w:r>
        <w:rPr>
          <w:color w:val="333333"/>
          <w:sz w:val="28"/>
        </w:rPr>
        <w:t xml:space="preserve">брания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>;</w:t>
      </w:r>
    </w:p>
    <w:p w14:paraId="3A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.3. Сокращение расходов местного бюджета на управление муниципальным имуществом;</w:t>
      </w:r>
    </w:p>
    <w:p w14:paraId="3B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.4. Пополнение доходной части бюджета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 xml:space="preserve"> от приватизации муниципального имущества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>.</w:t>
      </w:r>
    </w:p>
    <w:p w14:paraId="3C000000">
      <w:pPr>
        <w:pStyle w:val="Style_5"/>
        <w:spacing w:after="136" w:before="0"/>
        <w:ind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>5</w:t>
      </w:r>
      <w:r>
        <w:rPr>
          <w:color w:val="333333"/>
          <w:sz w:val="28"/>
        </w:rPr>
        <w:t xml:space="preserve">. Подготовка к продаже каждого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</w:t>
      </w:r>
      <w:r>
        <w:rPr>
          <w:color w:val="333333"/>
          <w:sz w:val="28"/>
        </w:rPr>
        <w:t>независимой оценки, в соответствии с действующим законодательством Российской Федерации.</w:t>
      </w:r>
    </w:p>
    <w:p w14:paraId="3D000000">
      <w:pPr>
        <w:ind/>
        <w:jc w:val="both"/>
        <w:rPr>
          <w:sz w:val="28"/>
        </w:rPr>
      </w:pPr>
      <w:r>
        <w:rPr>
          <w:sz w:val="28"/>
        </w:rPr>
        <w:t xml:space="preserve">       Исходя из </w:t>
      </w:r>
      <w:r>
        <w:rPr>
          <w:sz w:val="28"/>
        </w:rPr>
        <w:t>анализа</w:t>
      </w:r>
      <w:r>
        <w:rPr>
          <w:sz w:val="28"/>
        </w:rPr>
        <w:t xml:space="preserve"> предлагаемого к приватизации муниципального имущества Дергачевского района, прогнозируемые поступления доходов в районный бюджет 202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 xml:space="preserve">года от продажи имущества ожидаются в размере   </w:t>
      </w:r>
      <w:r>
        <w:rPr>
          <w:sz w:val="28"/>
        </w:rPr>
        <w:t>9</w:t>
      </w:r>
      <w:r>
        <w:rPr>
          <w:sz w:val="28"/>
        </w:rPr>
        <w:t>251,2</w:t>
      </w:r>
      <w:r>
        <w:rPr>
          <w:sz w:val="28"/>
        </w:rPr>
        <w:t xml:space="preserve"> тыс. рублей.</w:t>
      </w: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</w:p>
    <w:p w14:paraId="45000000">
      <w:pPr>
        <w:ind/>
        <w:jc w:val="center"/>
        <w:rPr>
          <w:b w:val="1"/>
          <w:sz w:val="28"/>
        </w:rPr>
      </w:pPr>
    </w:p>
    <w:p w14:paraId="46000000">
      <w:pPr>
        <w:ind/>
        <w:jc w:val="center"/>
        <w:rPr>
          <w:b w:val="1"/>
          <w:sz w:val="28"/>
        </w:rPr>
      </w:pPr>
    </w:p>
    <w:p w14:paraId="47000000">
      <w:pPr>
        <w:ind/>
        <w:jc w:val="center"/>
        <w:rPr>
          <w:b w:val="1"/>
          <w:sz w:val="28"/>
        </w:rPr>
      </w:pPr>
    </w:p>
    <w:p w14:paraId="48000000">
      <w:pPr>
        <w:ind/>
        <w:jc w:val="center"/>
        <w:rPr>
          <w:b w:val="1"/>
          <w:sz w:val="28"/>
        </w:rPr>
      </w:pPr>
    </w:p>
    <w:p w14:paraId="49000000">
      <w:pPr>
        <w:ind/>
        <w:jc w:val="center"/>
        <w:rPr>
          <w:b w:val="1"/>
          <w:sz w:val="28"/>
        </w:rPr>
      </w:pPr>
    </w:p>
    <w:p w14:paraId="4A000000">
      <w:pPr>
        <w:ind/>
        <w:jc w:val="center"/>
        <w:rPr>
          <w:b w:val="1"/>
          <w:sz w:val="28"/>
        </w:rPr>
      </w:pPr>
    </w:p>
    <w:p w14:paraId="4B000000">
      <w:pPr>
        <w:ind/>
        <w:jc w:val="center"/>
        <w:rPr>
          <w:b w:val="1"/>
          <w:sz w:val="28"/>
        </w:rPr>
      </w:pPr>
    </w:p>
    <w:p w14:paraId="4C000000">
      <w:pPr>
        <w:ind/>
        <w:jc w:val="center"/>
        <w:rPr>
          <w:b w:val="1"/>
          <w:sz w:val="28"/>
        </w:rPr>
      </w:pPr>
    </w:p>
    <w:p w14:paraId="4D000000">
      <w:pPr>
        <w:ind/>
        <w:jc w:val="center"/>
        <w:rPr>
          <w:b w:val="1"/>
          <w:sz w:val="28"/>
        </w:rPr>
      </w:pPr>
    </w:p>
    <w:p w14:paraId="4E000000">
      <w:pPr>
        <w:ind/>
        <w:jc w:val="center"/>
        <w:rPr>
          <w:b w:val="1"/>
          <w:sz w:val="28"/>
        </w:rPr>
      </w:pPr>
    </w:p>
    <w:p w14:paraId="4F000000">
      <w:pPr>
        <w:ind/>
        <w:jc w:val="center"/>
        <w:rPr>
          <w:b w:val="1"/>
          <w:sz w:val="28"/>
        </w:rPr>
      </w:pPr>
    </w:p>
    <w:p w14:paraId="50000000">
      <w:pPr>
        <w:ind/>
        <w:jc w:val="center"/>
        <w:rPr>
          <w:b w:val="1"/>
          <w:sz w:val="28"/>
        </w:rPr>
      </w:pPr>
    </w:p>
    <w:p w14:paraId="51000000">
      <w:pPr>
        <w:ind/>
        <w:jc w:val="center"/>
        <w:rPr>
          <w:b w:val="1"/>
          <w:sz w:val="28"/>
        </w:rPr>
      </w:pPr>
    </w:p>
    <w:p w14:paraId="52000000">
      <w:pPr>
        <w:ind/>
        <w:jc w:val="center"/>
        <w:rPr>
          <w:b w:val="1"/>
          <w:sz w:val="28"/>
        </w:rPr>
      </w:pPr>
    </w:p>
    <w:p w14:paraId="53000000">
      <w:pPr>
        <w:ind/>
        <w:jc w:val="center"/>
        <w:rPr>
          <w:b w:val="1"/>
          <w:sz w:val="28"/>
        </w:rPr>
      </w:pPr>
    </w:p>
    <w:p w14:paraId="54000000">
      <w:pPr>
        <w:ind/>
        <w:jc w:val="center"/>
        <w:rPr>
          <w:b w:val="1"/>
          <w:sz w:val="28"/>
        </w:rPr>
      </w:pPr>
    </w:p>
    <w:p w14:paraId="55000000">
      <w:pPr>
        <w:ind/>
        <w:jc w:val="center"/>
        <w:rPr>
          <w:b w:val="1"/>
          <w:sz w:val="28"/>
        </w:rPr>
      </w:pPr>
    </w:p>
    <w:p w14:paraId="56000000">
      <w:pPr>
        <w:ind/>
        <w:jc w:val="center"/>
        <w:rPr>
          <w:b w:val="1"/>
          <w:sz w:val="28"/>
        </w:rPr>
      </w:pPr>
    </w:p>
    <w:p w14:paraId="57000000">
      <w:pPr>
        <w:ind/>
        <w:jc w:val="center"/>
        <w:rPr>
          <w:b w:val="1"/>
          <w:sz w:val="28"/>
        </w:rPr>
      </w:pPr>
    </w:p>
    <w:p w14:paraId="58000000">
      <w:pPr>
        <w:ind/>
        <w:jc w:val="center"/>
        <w:rPr>
          <w:b w:val="1"/>
          <w:sz w:val="28"/>
        </w:rPr>
      </w:pPr>
    </w:p>
    <w:p w14:paraId="59000000">
      <w:pPr>
        <w:ind/>
        <w:jc w:val="center"/>
        <w:rPr>
          <w:b w:val="1"/>
          <w:sz w:val="28"/>
        </w:rPr>
      </w:pPr>
    </w:p>
    <w:p w14:paraId="5A000000">
      <w:pPr>
        <w:ind/>
        <w:jc w:val="center"/>
        <w:rPr>
          <w:b w:val="1"/>
          <w:sz w:val="28"/>
        </w:rPr>
      </w:pPr>
    </w:p>
    <w:p w14:paraId="5B000000">
      <w:pPr>
        <w:ind/>
        <w:jc w:val="center"/>
        <w:rPr>
          <w:b w:val="1"/>
          <w:sz w:val="28"/>
        </w:rPr>
      </w:pPr>
    </w:p>
    <w:p w14:paraId="5C000000">
      <w:pPr>
        <w:ind/>
        <w:jc w:val="center"/>
        <w:rPr>
          <w:b w:val="1"/>
          <w:sz w:val="28"/>
        </w:rPr>
      </w:pPr>
    </w:p>
    <w:p w14:paraId="5D000000">
      <w:pPr>
        <w:ind/>
        <w:jc w:val="center"/>
        <w:rPr>
          <w:b w:val="1"/>
          <w:sz w:val="28"/>
        </w:rPr>
      </w:pPr>
    </w:p>
    <w:p w14:paraId="5E000000">
      <w:pPr>
        <w:ind/>
        <w:jc w:val="center"/>
        <w:rPr>
          <w:b w:val="1"/>
          <w:sz w:val="28"/>
        </w:rPr>
      </w:pPr>
    </w:p>
    <w:p w14:paraId="5F000000">
      <w:pPr>
        <w:ind/>
        <w:jc w:val="center"/>
        <w:rPr>
          <w:b w:val="1"/>
          <w:sz w:val="28"/>
        </w:rPr>
      </w:pPr>
    </w:p>
    <w:p w14:paraId="60000000">
      <w:pPr>
        <w:ind/>
        <w:jc w:val="center"/>
        <w:rPr>
          <w:b w:val="1"/>
          <w:sz w:val="28"/>
        </w:rPr>
      </w:pPr>
    </w:p>
    <w:p w14:paraId="61000000">
      <w:pPr>
        <w:ind/>
        <w:jc w:val="center"/>
        <w:rPr>
          <w:b w:val="1"/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p w14:paraId="65000000">
      <w:pPr>
        <w:ind/>
        <w:jc w:val="center"/>
        <w:rPr>
          <w:b w:val="1"/>
          <w:sz w:val="28"/>
        </w:rPr>
      </w:pPr>
    </w:p>
    <w:p w14:paraId="66000000">
      <w:pPr>
        <w:ind/>
        <w:jc w:val="center"/>
        <w:rPr>
          <w:b w:val="1"/>
          <w:sz w:val="28"/>
        </w:rPr>
      </w:pPr>
    </w:p>
    <w:p w14:paraId="67000000">
      <w:pPr>
        <w:ind/>
        <w:jc w:val="center"/>
        <w:rPr>
          <w:b w:val="1"/>
          <w:sz w:val="28"/>
        </w:rPr>
      </w:pPr>
    </w:p>
    <w:p w14:paraId="68000000">
      <w:pPr>
        <w:ind/>
        <w:jc w:val="center"/>
        <w:rPr>
          <w:b w:val="1"/>
          <w:sz w:val="28"/>
        </w:rPr>
      </w:pPr>
    </w:p>
    <w:p w14:paraId="69000000">
      <w:pPr>
        <w:ind/>
        <w:jc w:val="center"/>
        <w:rPr>
          <w:b w:val="1"/>
          <w:sz w:val="28"/>
        </w:rPr>
      </w:pPr>
    </w:p>
    <w:p w14:paraId="6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2</w:t>
      </w:r>
    </w:p>
    <w:p w14:paraId="6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имущество Дергачевского муниципального района, приватизация которого планируется в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году.</w:t>
      </w:r>
    </w:p>
    <w:p w14:paraId="6C000000">
      <w:pPr>
        <w:ind/>
        <w:jc w:val="center"/>
        <w:rPr>
          <w:b w:val="1"/>
          <w:sz w:val="28"/>
        </w:rPr>
      </w:pPr>
    </w:p>
    <w:tbl>
      <w:tblPr>
        <w:tblStyle w:val="Style_6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685"/>
        <w:gridCol w:w="2713"/>
        <w:gridCol w:w="2499"/>
      </w:tblGrid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</w:pPr>
            <w:r>
              <w:t>№</w:t>
            </w:r>
          </w:p>
          <w:p w14:paraId="6E000000">
            <w:pPr>
              <w:ind/>
              <w:jc w:val="center"/>
            </w:pP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</w:pPr>
            <w:r>
              <w:t>Наименование муниципального имущества (Саратовская область)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</w:pPr>
            <w:r>
              <w:t>Предполагаемые сроки приватизации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</w:pPr>
            <w:r>
              <w:t>Прогнозные поступления в местный бюджет (тыс</w:t>
            </w:r>
            <w:r>
              <w:t>.р</w:t>
            </w:r>
            <w:r>
              <w:t>уб.)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</w:pPr>
            <w:r>
              <w:t>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</w:pPr>
            <w:r>
              <w:t>Нежилое помещение, находящееся по адресу: р.п. Дергачи ул. Ленина, д.87, пом.1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</w:pPr>
            <w:r>
              <w:t>1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center"/>
            </w:pPr>
            <w:r>
              <w:t>500,0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</w:pPr>
            <w:r>
              <w:t>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</w:pPr>
            <w:r>
              <w:t>Нежилое здание: Дергачевский район,  р.п. Дергачи, ул. Разведчиков, 5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</w:pPr>
            <w:r>
              <w:t>1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</w:pPr>
            <w:r>
              <w:t>224,0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</w:pPr>
            <w:r>
              <w:t>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д.№1Б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</w:pPr>
            <w:r>
              <w:t>2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/>
              <w:jc w:val="center"/>
            </w:pPr>
            <w:r>
              <w:t>439,6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</w:pPr>
            <w:r>
              <w:t>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д.№1Е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</w:pPr>
            <w:r>
              <w:t>2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center"/>
            </w:pPr>
            <w:r>
              <w:t>4050,1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</w:pPr>
            <w:r>
              <w:t>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</w:pPr>
            <w:r>
              <w:t xml:space="preserve">Нежилое двухэтажное </w:t>
            </w:r>
            <w:r>
              <w:t>здание</w:t>
            </w:r>
            <w:r>
              <w:t xml:space="preserve"> находящееся по адресу: Дергачевский район, п. Орошаемый, ул. </w:t>
            </w:r>
            <w:r>
              <w:t>Центральная</w:t>
            </w:r>
            <w:r>
              <w:t>, д.№42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</w:pPr>
            <w:r>
              <w:t>2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</w:pPr>
            <w:r>
              <w:t>1000,0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</w:pPr>
            <w:r>
              <w:t>6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д.№1А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</w:pPr>
            <w:r>
              <w:t>3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</w:pPr>
            <w:r>
              <w:t>2174,0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</w:pPr>
            <w:r>
              <w:t>7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д.№1В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</w:pPr>
            <w:r>
              <w:t>3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ind/>
              <w:jc w:val="center"/>
            </w:pPr>
            <w:r>
              <w:t>127,0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</w:pPr>
            <w:r>
              <w:t>8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</w:pPr>
            <w:r>
              <w:t xml:space="preserve">Нежилое здание, р.п. Дергачи, пер. </w:t>
            </w:r>
            <w:r>
              <w:t>Лесной</w:t>
            </w:r>
            <w:r>
              <w:t>, 45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ind/>
              <w:jc w:val="center"/>
            </w:pPr>
            <w:r>
              <w:t>70,0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</w:pPr>
            <w:r>
              <w:t>9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пер. </w:t>
            </w:r>
            <w:r>
              <w:t>Береговой</w:t>
            </w:r>
            <w:r>
              <w:t>, д.№2А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ind/>
              <w:jc w:val="center"/>
            </w:pPr>
            <w:r>
              <w:t>100,0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</w:pPr>
            <w:r>
              <w:t>1</w:t>
            </w:r>
            <w:r>
              <w:t>0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0"/>
              <w:spacing w:line="20" w:lineRule="atLeast"/>
              <w:ind w:firstLine="0" w:left="20"/>
              <w:contextualSpacing w:val="1"/>
            </w:pPr>
            <w:r>
              <w:t xml:space="preserve">Нежилое здание с земельным участком, </w:t>
            </w:r>
            <w:r>
              <w:t>расположенные</w:t>
            </w:r>
            <w:r>
              <w:t xml:space="preserve"> по адресу: Саратовская область, р-н Дергачевский, </w:t>
            </w:r>
            <w:r>
              <w:t>с</w:t>
            </w:r>
            <w:r>
              <w:t>. Антоновка, ул. Колхозная, д. 9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ind/>
              <w:jc w:val="center"/>
            </w:pPr>
            <w:r>
              <w:t>566,5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</w:pPr>
            <w:r>
              <w:t>Итого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</w:pP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ind/>
              <w:jc w:val="center"/>
            </w:pPr>
            <w:r>
              <w:t>9</w:t>
            </w:r>
            <w:r>
              <w:t>251,2</w:t>
            </w:r>
          </w:p>
        </w:tc>
      </w:tr>
    </w:tbl>
    <w:p w14:paraId="9E000000">
      <w:pPr>
        <w:rPr>
          <w:b w:val="1"/>
          <w:sz w:val="28"/>
        </w:rPr>
      </w:pPr>
    </w:p>
    <w:sectPr>
      <w:pgSz w:h="16838" w:w="11906"/>
      <w:pgMar w:bottom="426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900"/>
      </w:p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er"/>
    <w:basedOn w:val="Style_7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7_ch"/>
    <w:link w:val="Style_13"/>
  </w:style>
  <w:style w:styleId="Style_14" w:type="paragraph">
    <w:name w:val="heading 3"/>
    <w:next w:val="Style_7"/>
    <w:link w:val="Style_14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4_ch" w:type="character">
    <w:name w:val="heading 3"/>
    <w:link w:val="Style_14"/>
    <w:rPr>
      <w:rFonts w:ascii="XO Thames" w:hAnsi="XO Thames"/>
      <w:b w:val="1"/>
      <w:i w:val="1"/>
    </w:rPr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5" w:type="paragraph">
    <w:name w:val="Normal (Web)"/>
    <w:basedOn w:val="Style_7"/>
    <w:link w:val="Style_5_ch"/>
    <w:pPr>
      <w:spacing w:afterAutospacing="on" w:beforeAutospacing="on"/>
      <w:ind/>
    </w:pPr>
    <w:rPr>
      <w:color w:val="000000"/>
    </w:rPr>
  </w:style>
  <w:style w:styleId="Style_5_ch" w:type="character">
    <w:name w:val="Normal (Web)"/>
    <w:basedOn w:val="Style_7_ch"/>
    <w:link w:val="Style_5"/>
    <w:rPr>
      <w:color w:val="000000"/>
    </w:rPr>
  </w:style>
  <w:style w:styleId="Style_4" w:type="paragraph">
    <w:name w:val="Body Text 2"/>
    <w:basedOn w:val="Style_7"/>
    <w:link w:val="Style_4_ch"/>
    <w:pPr>
      <w:ind/>
      <w:jc w:val="both"/>
    </w:pPr>
  </w:style>
  <w:style w:styleId="Style_4_ch" w:type="character">
    <w:name w:val="Body Text 2"/>
    <w:basedOn w:val="Style_7_ch"/>
    <w:link w:val="Style_4"/>
  </w:style>
  <w:style w:styleId="Style_16" w:type="paragraph">
    <w:name w:val="Body Text Indent"/>
    <w:basedOn w:val="Style_7"/>
    <w:link w:val="Style_16_ch"/>
    <w:pPr>
      <w:spacing w:after="120"/>
      <w:ind w:firstLine="0" w:left="283"/>
    </w:pPr>
  </w:style>
  <w:style w:styleId="Style_16_ch" w:type="character">
    <w:name w:val="Body Text Indent"/>
    <w:basedOn w:val="Style_7_ch"/>
    <w:link w:val="Style_16"/>
  </w:style>
  <w:style w:styleId="Style_17" w:type="paragraph">
    <w:name w:val="toc 3"/>
    <w:next w:val="Style_7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Body Text Indent 3"/>
    <w:basedOn w:val="Style_7"/>
    <w:link w:val="Style_18_ch"/>
    <w:pPr>
      <w:spacing w:after="120"/>
      <w:ind w:firstLine="0" w:left="283"/>
    </w:pPr>
    <w:rPr>
      <w:sz w:val="16"/>
    </w:rPr>
  </w:style>
  <w:style w:styleId="Style_18_ch" w:type="character">
    <w:name w:val="Body Text Indent 3"/>
    <w:basedOn w:val="Style_7_ch"/>
    <w:link w:val="Style_18"/>
    <w:rPr>
      <w:sz w:val="16"/>
    </w:rPr>
  </w:style>
  <w:style w:styleId="Style_19" w:type="paragraph">
    <w:name w:val="heading 5"/>
    <w:next w:val="Style_7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1" w:type="paragraph">
    <w:name w:val="heading 1"/>
    <w:basedOn w:val="Style_7"/>
    <w:next w:val="Style_7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7_ch"/>
    <w:link w:val="Style_1"/>
    <w:rPr>
      <w:rFonts w:ascii="Arial" w:hAnsi="Arial"/>
      <w:b w:val="1"/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7"/>
    <w:link w:val="Style_23_ch"/>
    <w:uiPriority w:val="39"/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footer"/>
    <w:basedOn w:val="Style_7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7_ch"/>
    <w:link w:val="Style_25"/>
  </w:style>
  <w:style w:styleId="Style_26" w:type="paragraph">
    <w:name w:val="toc 9"/>
    <w:next w:val="Style_7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7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ConsPlusNormal"/>
    <w:link w:val="Style_28_ch"/>
    <w:pPr>
      <w:widowControl w:val="0"/>
      <w:ind w:firstLine="720"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toc 5"/>
    <w:next w:val="Style_7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Balloon Text"/>
    <w:basedOn w:val="Style_7"/>
    <w:link w:val="Style_32_ch"/>
    <w:rPr>
      <w:rFonts w:ascii="Tahoma" w:hAnsi="Tahoma"/>
      <w:sz w:val="16"/>
    </w:rPr>
  </w:style>
  <w:style w:styleId="Style_32_ch" w:type="character">
    <w:name w:val="Balloon Text"/>
    <w:basedOn w:val="Style_7_ch"/>
    <w:link w:val="Style_32"/>
    <w:rPr>
      <w:rFonts w:ascii="Tahoma" w:hAnsi="Tahoma"/>
      <w:sz w:val="16"/>
    </w:rPr>
  </w:style>
  <w:style w:styleId="Style_33" w:type="paragraph">
    <w:name w:val="ConsPlusTitle"/>
    <w:link w:val="Style_33_ch"/>
    <w:pPr>
      <w:widowControl w:val="0"/>
      <w:ind/>
    </w:pPr>
    <w:rPr>
      <w:rFonts w:ascii="Arial" w:hAnsi="Arial"/>
      <w:b w:val="1"/>
    </w:rPr>
  </w:style>
  <w:style w:styleId="Style_33_ch" w:type="character">
    <w:name w:val="ConsPlusTitle"/>
    <w:link w:val="Style_33"/>
    <w:rPr>
      <w:rFonts w:ascii="Arial" w:hAnsi="Arial"/>
      <w:b w:val="1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paragraph">
    <w:name w:val="Subtitle"/>
    <w:next w:val="Style_7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toc 10"/>
    <w:next w:val="Style_7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37" w:type="paragraph">
    <w:name w:val="List Paragraph"/>
    <w:basedOn w:val="Style_7"/>
    <w:link w:val="Style_37_ch"/>
    <w:pPr>
      <w:ind w:firstLine="0" w:left="720"/>
    </w:pPr>
  </w:style>
  <w:style w:styleId="Style_37_ch" w:type="character">
    <w:name w:val="List Paragraph"/>
    <w:basedOn w:val="Style_7_ch"/>
    <w:link w:val="Style_37"/>
  </w:style>
  <w:style w:styleId="Style_2" w:type="paragraph">
    <w:name w:val="Title"/>
    <w:basedOn w:val="Style_7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7_ch"/>
    <w:link w:val="Style_2"/>
    <w:rPr>
      <w:b w:val="1"/>
      <w:sz w:val="28"/>
    </w:rPr>
  </w:style>
  <w:style w:styleId="Style_38" w:type="paragraph">
    <w:name w:val="heading 4"/>
    <w:next w:val="Style_7"/>
    <w:link w:val="Style_3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_ch" w:type="character">
    <w:name w:val="heading 4"/>
    <w:link w:val="Style_38"/>
    <w:rPr>
      <w:rFonts w:ascii="XO Thames" w:hAnsi="XO Thames"/>
      <w:b w:val="1"/>
      <w:color w:val="595959"/>
      <w:sz w:val="26"/>
    </w:rPr>
  </w:style>
  <w:style w:styleId="Style_39" w:type="paragraph">
    <w:name w:val="heading 2"/>
    <w:next w:val="Style_7"/>
    <w:link w:val="Style_3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_ch" w:type="character">
    <w:name w:val="heading 2"/>
    <w:link w:val="Style_39"/>
    <w:rPr>
      <w:rFonts w:ascii="XO Thames" w:hAnsi="XO Thames"/>
      <w:b w:val="1"/>
      <w:color w:val="00A0FF"/>
      <w:sz w:val="26"/>
    </w:rPr>
  </w:style>
  <w:style w:styleId="Style_40" w:type="paragraph">
    <w:name w:val="Обычный1"/>
    <w:link w:val="Style_40_ch"/>
    <w:rPr>
      <w:sz w:val="24"/>
    </w:rPr>
  </w:style>
  <w:style w:styleId="Style_40_ch" w:type="character">
    <w:name w:val="Обычный1"/>
    <w:link w:val="Style_40"/>
    <w:rPr>
      <w:sz w:val="24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2025-12-24T05:57:36Z</dcterms:modified>
</cp:coreProperties>
</file>